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Cauciones Bursátiles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Wiki de Inversiones · Mercado Argentino</w:t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¿Qué es?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Una caución bursátil es una operación de muy corto plazo equivalente funcional a un depósito a plazo, pero ejecutada dentro de las plataformas del mercado de capitales con garantías superiores. Existen dos actores: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Colocador (prestamista): </w:t>
      </w:r>
      <w:r>
        <w:rPr>
          <w:rFonts w:ascii="Arial" w:cs="Arial" w:eastAsia="Arial" w:hAnsi="Arial"/>
          <w:sz w:val="22"/>
          <w:szCs w:val="22"/>
        </w:rPr>
        <w:t xml:space="preserve">Colocador: el ahorrista que cede liquidez (pesos) a cambio de percibir una tasa de interés por el período pactado.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Tomador (prestatario): </w:t>
      </w:r>
      <w:r>
        <w:rPr>
          <w:rFonts w:ascii="Arial" w:cs="Arial" w:eastAsia="Arial" w:hAnsi="Arial"/>
          <w:sz w:val="22"/>
          <w:szCs w:val="22"/>
        </w:rPr>
        <w:t xml:space="preserve">Tomador: el que recibe los fondos prestados, entregando como garantía un colateral de bonos o acciones que supera el valor prestado (mecanismo de "aforo").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garantía es el pilar de seguridad: BYMA exige al tomador depositar activos financieros valuados a mercado por un monto mayor al capital prestado. Si hay incumplimiento, la central bursátil liquida automáticamente los activos del colateral e indemniza al colocador.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Los plazos van de 1 jornada a 120 días. Para el inversor minorista, muchos brokers ofrecen cauciones como alternativa automática a los fondos Money Market.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¿Cómo funciona el flujo de dinero?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Entrada: </w:t>
      </w:r>
      <w:r>
        <w:rPr>
          <w:rFonts w:ascii="Arial" w:cs="Arial" w:eastAsia="Arial" w:hAnsi="Arial"/>
          <w:sz w:val="22"/>
          <w:szCs w:val="22"/>
        </w:rPr>
        <w:t xml:space="preserve">Entrada: en tu broker indicás que querés colocar pesos en caución por X días. El sistema matchea con un tomador y la operación se concerta con tasa predeterminada por el mercado.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Rendimiento: </w:t>
      </w:r>
      <w:r>
        <w:rPr>
          <w:rFonts w:ascii="Arial" w:cs="Arial" w:eastAsia="Arial" w:hAnsi="Arial"/>
          <w:sz w:val="22"/>
          <w:szCs w:val="22"/>
        </w:rPr>
        <w:t xml:space="preserve">Rendimiento: la tasa es la que dicta la oferta y la demanda en el momento de la operación. Suele ser cercana a la tasa de política monetaria del BCRA.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Salida: </w:t>
      </w:r>
      <w:r>
        <w:rPr>
          <w:rFonts w:ascii="Arial" w:cs="Arial" w:eastAsia="Arial" w:hAnsi="Arial"/>
          <w:sz w:val="22"/>
          <w:szCs w:val="22"/>
        </w:rPr>
        <w:t xml:space="preserve">Salida: al vencimiento, se acredita automáticamente en tu cuenta el capital + los intereses, sin fricciones burocráticas.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Existen cauciones en dólares, pero tienen volúmenes casi testimoniales y rendimientos mínimos. Su atractivo es marginal.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Moneda de exposición al riesgo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Pesos argentinos en la enorme mayoría de los casos. No provee cobertura cambiaria ni inflacionaria directa.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Principales riesgos estructurales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crédito: </w:t>
      </w:r>
      <w:r>
        <w:rPr>
          <w:rFonts w:ascii="Arial" w:cs="Arial" w:eastAsia="Arial" w:hAnsi="Arial"/>
          <w:sz w:val="22"/>
          <w:szCs w:val="22"/>
        </w:rPr>
        <w:t xml:space="preserve">Riesgo de crédito: prácticamente nulo. El mecanismo de aforo y la garantía de BYMA hacen que el riesgo sea sistémico (colapso total del sistema bursátil), no individual del tomador.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inflacionario: </w:t>
      </w:r>
      <w:r>
        <w:rPr>
          <w:rFonts w:ascii="Arial" w:cs="Arial" w:eastAsia="Arial" w:hAnsi="Arial"/>
          <w:sz w:val="22"/>
          <w:szCs w:val="22"/>
        </w:rPr>
        <w:t xml:space="preserve">Riesgo inflacionario: la tasa puede no compensar la inflación real, especialmente en contextos de aceleración de precios.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tasa: </w:t>
      </w:r>
      <w:r>
        <w:rPr>
          <w:rFonts w:ascii="Arial" w:cs="Arial" w:eastAsia="Arial" w:hAnsi="Arial"/>
          <w:sz w:val="22"/>
          <w:szCs w:val="22"/>
        </w:rPr>
        <w:t xml:space="preserve">Riesgo de tasa: la tasa se pacta al inicio; si los tipos de interés suben bruscamente, podrías haber comprometido el capital a una tasa menor que la nueva de mercado.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regulatorio: </w:t>
      </w:r>
      <w:r>
        <w:rPr>
          <w:rFonts w:ascii="Arial" w:cs="Arial" w:eastAsia="Arial" w:hAnsi="Arial"/>
          <w:sz w:val="22"/>
          <w:szCs w:val="22"/>
        </w:rPr>
        <w:t xml:space="preserve">Riesgo regulatorio: cambios en normativa de BYMA sobre aforos, plazos o activos elegibles como colateral.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Horizonte recomendado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Muy corto plazo (1-30 días). Ideal para rentabilizar saldos transitorios: entre operaciones, en fines de semana prolongados, o mientras se decide en qué invertir. Complementa o compite directamente con los fondos Money Market T+0.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Ticket mínimo y accesibilidad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Bajos. La mayoría de los brokers permiten operar cauciones desde montos accesibles para el pequeño inversor. En general son simples de ejecutar: en pocas interacciones desde el home del broker.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¿Cuándo tiene sentido usarlas?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rentabilizar saldos transitorios de pesos entre operaciones bursátiles.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Como alternativa al fondo Money Market cuando la tasa de caución es superior a la que ofrece el fondo disponible.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cubrir el fin de semana o feriados prolongados cuando otros instrumentos no están disponibles.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Como instrumento conservador de liquidez para inversores que no quieren asumir riesgo de price de mercado.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Dónde ver información actualizada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BYMA Data: </w:t>
      </w:r>
      <w:r>
        <w:rPr>
          <w:rFonts w:ascii="Arial" w:cs="Arial" w:eastAsia="Arial" w:hAnsi="Arial"/>
          <w:sz w:val="22"/>
          <w:szCs w:val="22"/>
        </w:rPr>
        <w:t xml:space="preserve">BYMA Data: panel de cauciones con tasas vigentes minuto a minuto, plazos disponibles y volúmenes.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Brokers: </w:t>
      </w:r>
      <w:r>
        <w:rPr>
          <w:rFonts w:ascii="Arial" w:cs="Arial" w:eastAsia="Arial" w:hAnsi="Arial"/>
          <w:sz w:val="22"/>
          <w:szCs w:val="22"/>
        </w:rPr>
        <w:t xml:space="preserve">Paneles de brokers: todos los ALyCs relevantes muestran las tasas de caución en tiempo real y permiten operar con pocos clics.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CAFCI (comparación): </w:t>
      </w:r>
      <w:r>
        <w:rPr>
          <w:rFonts w:ascii="Arial" w:cs="Arial" w:eastAsia="Arial" w:hAnsi="Arial"/>
          <w:sz w:val="22"/>
          <w:szCs w:val="22"/>
        </w:rPr>
        <w:t xml:space="preserve">CAFCI (cafci.org.ar): para comparar si el rendimiento de la caución es mejor que el del fondo Money Market disponible.</w:t>
      </w:r>
    </w:p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📊 Tabla resumen de atributos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C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Tipo de instrumento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 / Préstamo garantizado con colateral bursátil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Moneda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Pesos (principal volumen) / Dólares (marginal)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Plazo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a 120 días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Tasa pactada por oferta y demanda (mercado)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inflación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dólar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(en pesos) / Marginal (en USD)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Horizonte recomendado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Muy corto plazo (1-30 días)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Prácticamente nulo (garantizado por BYMA mediante "aforo")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Ticket mínimo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 (operables desde homebanking o broker)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Mercado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BYMA (garantizado por la central bursátil)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Regulador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CNV / BYMA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🤖 Nota de mantenimiento para LLM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Esta página de la wiki es mantenida por un LLM. Para actualizar, pasá este documento junto con datos de mercado recientes al modelo y usá el siguiente prompt:
"Actualizá la sección 'Dónde ver información actualizada' de este instrumento con tasas, rendimientos o condiciones vigentes al [FECHA]. Mantené la estructura existente. Si algún dato estructural cambió (nueva regulación, cambio de régimen), actualizá también las secciones correspondientes y anotá la fecha de cambio."
Modelo recomendado: claude-haiku-4-5-20251001 para actualizaciones rutinarias · claude-sonnet-4-6 para revisiones profundas.</w:t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Wiki de Inversiones · Cauciones Bursátiles · 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CA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2026-06-23T14:44:28.752Z</dcterms:created>
  <dcterms:modified xsi:type="dcterms:W3CDTF">2026-06-23T14:44:28.752Z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