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2689F" w14:textId="77777777" w:rsidR="008905CC" w:rsidRDefault="007C3620">
      <w:pPr>
        <w:pStyle w:val="Title"/>
      </w:pPr>
      <w:r>
        <w:t>Scottish Surveys Core Questions 2023</w:t>
      </w:r>
    </w:p>
    <w:p w14:paraId="77245AD9" w14:textId="77777777" w:rsidR="008905CC" w:rsidRDefault="007C3620">
      <w:pPr>
        <w:pStyle w:val="Subtitle"/>
      </w:pPr>
      <w:r>
        <w:t>Technical Report</w:t>
      </w:r>
    </w:p>
    <w:p w14:paraId="48BE34C9" w14:textId="77777777" w:rsidR="008905CC" w:rsidRDefault="007C3620">
      <w:pPr>
        <w:pStyle w:val="Heading1"/>
      </w:pPr>
      <w:bookmarkStart w:id="0" w:name="scottish-surveys-core-questions-2023"/>
      <w:r>
        <w:t>Scottish Surveys Core Questions 2023</w:t>
      </w:r>
    </w:p>
    <w:p w14:paraId="43FBE9E5" w14:textId="77777777" w:rsidR="008905CC" w:rsidRDefault="007C3620">
      <w:pPr>
        <w:pStyle w:val="FirstParagraph"/>
      </w:pPr>
      <w:r>
        <w:t xml:space="preserve">The Scottish Surveys Core Questions (SSCQ) is an annual Official Statistics publication for Scotland. The SSCQ gathers survey responses from identical </w:t>
      </w:r>
      <w:hyperlink r:id="rId5">
        <w:r>
          <w:rPr>
            <w:rStyle w:val="Hyperlink"/>
          </w:rPr>
          <w:t>indicator questions</w:t>
        </w:r>
      </w:hyperlink>
      <w:r>
        <w:t xml:space="preserve"> in the Scottish Crime and Justice Survey (SCJS), the Scottish Health Survey (SHeS) and the Scottish Household Survey (SHS) into one output.</w:t>
      </w:r>
    </w:p>
    <w:p w14:paraId="3248DF18" w14:textId="77777777" w:rsidR="008905CC" w:rsidRDefault="007C3620">
      <w:pPr>
        <w:pStyle w:val="BodyText"/>
      </w:pPr>
      <w:r>
        <w:t>The Scottish Surveys Core Questions in 2023 reports on the following overarching topics:health, demography and equality, as well as perception of crime and confidence in police.</w:t>
      </w:r>
    </w:p>
    <w:p w14:paraId="30A35A96" w14:textId="77777777" w:rsidR="008905CC" w:rsidRDefault="007C3620">
      <w:pPr>
        <w:pStyle w:val="BodyText"/>
      </w:pPr>
      <w:r>
        <w:t xml:space="preserve">The pooling of the Core Questions results in an annual sample of around 20,000 respondents, providing unprecedented precision of estimates at a national level. This sample size enables detailed and reliable analysis of national indicators by </w:t>
      </w:r>
      <w:r>
        <w:rPr>
          <w:b/>
          <w:bCs/>
        </w:rPr>
        <w:t>equalities characteristics</w:t>
      </w:r>
      <w:r>
        <w:t xml:space="preserve"> such as ethnic group, religion, country of birth, marital status, sexual orientation, age, sex and veteran status. Further variables available include education level, employment, tenure, car access and household type.</w:t>
      </w:r>
    </w:p>
    <w:p w14:paraId="05D6EF2F" w14:textId="77777777" w:rsidR="008905CC" w:rsidRDefault="007C3620">
      <w:pPr>
        <w:pStyle w:val="BodyText"/>
      </w:pPr>
      <w:r>
        <w:t xml:space="preserve">The SSCQ also enable a more detailed analysis of </w:t>
      </w:r>
      <w:r>
        <w:rPr>
          <w:b/>
          <w:bCs/>
        </w:rPr>
        <w:t>sub-national geographies</w:t>
      </w:r>
      <w:r>
        <w:t xml:space="preserve"> than the source surveys allow. Annually, SSCQ reports for local authorities, health boards, area deprivation, urban/rural classification and police divisions.</w:t>
      </w:r>
    </w:p>
    <w:p w14:paraId="21A28484" w14:textId="77777777" w:rsidR="008905CC" w:rsidRDefault="007C3620">
      <w:r>
        <w:br w:type="page"/>
      </w:r>
    </w:p>
    <w:p w14:paraId="72C27665" w14:textId="77777777" w:rsidR="008905CC" w:rsidRDefault="007C3620">
      <w:pPr>
        <w:pStyle w:val="Heading2"/>
      </w:pPr>
      <w:bookmarkStart w:id="1" w:name="source-surveys-and-core-questions"/>
      <w:r>
        <w:lastRenderedPageBreak/>
        <w:t>1.1 Source Surveys and Core Questions</w:t>
      </w:r>
    </w:p>
    <w:p w14:paraId="2944F49B" w14:textId="77777777" w:rsidR="008905CC" w:rsidRDefault="007C3620">
      <w:pPr>
        <w:pStyle w:val="FirstParagraph"/>
      </w:pPr>
      <w:r>
        <w:t>Results from the three large-scale Scottish Government population surveys are published separately as Accredited Official Statistics:</w:t>
      </w:r>
    </w:p>
    <w:p w14:paraId="5568B826" w14:textId="77777777" w:rsidR="008905CC" w:rsidRDefault="007C3620">
      <w:pPr>
        <w:numPr>
          <w:ilvl w:val="0"/>
          <w:numId w:val="2"/>
        </w:numPr>
      </w:pPr>
      <w:hyperlink r:id="rId6" w:anchor=":~:text=The%20Scottish%20Crime%20and%20Justice%20Survey%20%28SCJS%29%20is,monitor%20the%20impact%20of%20initiatives%20since%20the%201980s.">
        <w:r>
          <w:rPr>
            <w:rStyle w:val="Hyperlink"/>
          </w:rPr>
          <w:t>Scottish Crime and Justice Survey (SCJS)</w:t>
        </w:r>
      </w:hyperlink>
    </w:p>
    <w:p w14:paraId="2D6D5B7A" w14:textId="77777777" w:rsidR="008905CC" w:rsidRDefault="007C3620">
      <w:pPr>
        <w:numPr>
          <w:ilvl w:val="0"/>
          <w:numId w:val="2"/>
        </w:numPr>
      </w:pPr>
      <w:hyperlink r:id="rId7">
        <w:r>
          <w:rPr>
            <w:rStyle w:val="Hyperlink"/>
          </w:rPr>
          <w:t>Scottish Health Survey (SHeS)</w:t>
        </w:r>
      </w:hyperlink>
    </w:p>
    <w:p w14:paraId="575B30B5" w14:textId="77777777" w:rsidR="008905CC" w:rsidRDefault="007C3620">
      <w:pPr>
        <w:numPr>
          <w:ilvl w:val="0"/>
          <w:numId w:val="2"/>
        </w:numPr>
      </w:pPr>
      <w:hyperlink r:id="rId8">
        <w:r>
          <w:rPr>
            <w:rStyle w:val="Hyperlink"/>
          </w:rPr>
          <w:t>Scottish Household Survey (SHS)</w:t>
        </w:r>
      </w:hyperlink>
    </w:p>
    <w:p w14:paraId="60688457" w14:textId="77777777" w:rsidR="008905CC" w:rsidRDefault="007C3620">
      <w:pPr>
        <w:pStyle w:val="FirstParagraph"/>
      </w:pPr>
      <w:r>
        <w:t xml:space="preserve">Further information on Population Surveys in Scotland can be found on the </w:t>
      </w:r>
      <w:hyperlink r:id="rId9">
        <w:r>
          <w:rPr>
            <w:rStyle w:val="Hyperlink"/>
          </w:rPr>
          <w:t>Scottish Government website</w:t>
        </w:r>
      </w:hyperlink>
      <w:r>
        <w:t>.</w:t>
      </w:r>
    </w:p>
    <w:p w14:paraId="24A9EFB9" w14:textId="77777777" w:rsidR="008905CC" w:rsidRDefault="007C3620">
      <w:pPr>
        <w:pStyle w:val="BodyText"/>
      </w:pPr>
      <w:r>
        <w:t>Since the beginning of 2012, each of the surveys have included a set of around 20 core questions that provide information on the composition, characteristics and attitudes of Scottish households and adults across a number of topic areas including equality characteristics, housing, employment and perceptions of health and crime. Responses to these questions in all three surveys have been pooled to provide the Scottish Surveys Core Questions (SSCQ) dataset with a sample size of around 20,000 responses.</w:t>
      </w:r>
    </w:p>
    <w:p w14:paraId="265E5830" w14:textId="77777777" w:rsidR="008905CC" w:rsidRDefault="007C3620">
      <w:pPr>
        <w:pStyle w:val="BodyText"/>
      </w:pPr>
      <w:r>
        <w:t xml:space="preserve">Full details of the </w:t>
      </w:r>
      <w:hyperlink r:id="rId10">
        <w:r>
          <w:rPr>
            <w:rStyle w:val="Hyperlink"/>
          </w:rPr>
          <w:t>harmonised questions</w:t>
        </w:r>
      </w:hyperlink>
      <w:r>
        <w:t xml:space="preserve"> are available online and questionnaires are provided on the websites of each of the individual surveys.</w:t>
      </w:r>
    </w:p>
    <w:p w14:paraId="0C69E3F6" w14:textId="77777777" w:rsidR="008905CC" w:rsidRDefault="007C3620">
      <w:pPr>
        <w:pStyle w:val="BodyText"/>
      </w:pPr>
      <w:r>
        <w:t>Due to the different sampling nature of each survey, which is necessary to meet their primary aims, the number of respondents varies between different SSCQ questions. The questions were hence batched into three groups: household questions, individual questions and crime questions, and three different sets of weights calculated to ensure representative results. Sampling, weighting and pooled sample numbers are described separately for each survey below.</w:t>
      </w:r>
    </w:p>
    <w:p w14:paraId="555B0286" w14:textId="77777777" w:rsidR="008905CC" w:rsidRDefault="007C3620">
      <w:pPr>
        <w:pStyle w:val="BodyText"/>
      </w:pPr>
      <w:r>
        <w:rPr>
          <w:b/>
          <w:bCs/>
        </w:rPr>
        <w:t>Scottish Crime and Justice Survey (SCJS) technical notes</w:t>
      </w:r>
    </w:p>
    <w:p w14:paraId="1F7CA453" w14:textId="77777777" w:rsidR="008905CC" w:rsidRDefault="007C3620">
      <w:pPr>
        <w:pStyle w:val="BodyText"/>
      </w:pPr>
      <w:r>
        <w:t xml:space="preserve">Sampling, survey response and weighting are described in full in the </w:t>
      </w:r>
      <w:hyperlink r:id="rId11">
        <w:r>
          <w:rPr>
            <w:rStyle w:val="Hyperlink"/>
          </w:rPr>
          <w:t>SCJS technical report</w:t>
        </w:r>
      </w:hyperlink>
      <w:r>
        <w:t>. Briefly, the survey consists of a stratified systematic sample which is designed to achieve a robust sample at national and local authority level. The target sample size at national level is 6,000 interviews per year. One random adult per household is interviewed and asked all SSCQ and SCJS questions.</w:t>
      </w:r>
    </w:p>
    <w:p w14:paraId="0BB8CF3C" w14:textId="77777777" w:rsidR="008905CC" w:rsidRDefault="007C3620">
      <w:pPr>
        <w:pStyle w:val="BodyText"/>
      </w:pPr>
      <w:r>
        <w:rPr>
          <w:b/>
          <w:bCs/>
        </w:rPr>
        <w:t>Scottish Health Survey (SHeS) technical notes</w:t>
      </w:r>
    </w:p>
    <w:p w14:paraId="4BF2E46C" w14:textId="77777777" w:rsidR="008905CC" w:rsidRDefault="007C3620">
      <w:pPr>
        <w:pStyle w:val="BodyText"/>
      </w:pPr>
      <w:r>
        <w:t xml:space="preserve">Sampling, survey response and weighting are described in full in the </w:t>
      </w:r>
      <w:hyperlink r:id="rId12">
        <w:r>
          <w:rPr>
            <w:rStyle w:val="Hyperlink"/>
          </w:rPr>
          <w:t>SHeS technical report</w:t>
        </w:r>
      </w:hyperlink>
      <w:r>
        <w:t>. Briefly, the survey is a partially clustered stratified multi-stage sample, with local authorities as strata, intermediate geographies as primary sampling units and addresses as secondary sampling unit. All adults and up to two children in each household are eligible for interview. Only one adult in each household is asked the crime and household questions to remain in line with the SCJS sampling procedure. The SHeS sample is boosted for some health boards and to capture more households with children. The</w:t>
      </w:r>
      <w:r>
        <w:t xml:space="preserve"> SHeS did not </w:t>
      </w:r>
      <w:r>
        <w:lastRenderedPageBreak/>
        <w:t>collect data regarding Police Confidence this year, which does mean that the SSCQ sample for this variable is smaller compared to the other variables.</w:t>
      </w:r>
    </w:p>
    <w:p w14:paraId="4031E2D8" w14:textId="77777777" w:rsidR="008905CC" w:rsidRDefault="007C3620">
      <w:pPr>
        <w:pStyle w:val="BodyText"/>
      </w:pPr>
      <w:r>
        <w:rPr>
          <w:b/>
          <w:bCs/>
        </w:rPr>
        <w:t>Scottish Household Survey (SHS) technical notes</w:t>
      </w:r>
    </w:p>
    <w:p w14:paraId="54D8499D" w14:textId="77777777" w:rsidR="008905CC" w:rsidRDefault="007C3620">
      <w:pPr>
        <w:pStyle w:val="BodyText"/>
      </w:pPr>
      <w:r>
        <w:t xml:space="preserve">Sampling, survey response and weighting are described in full in the </w:t>
      </w:r>
      <w:hyperlink r:id="rId13">
        <w:r>
          <w:rPr>
            <w:rStyle w:val="Hyperlink"/>
          </w:rPr>
          <w:t>SHS technical report</w:t>
        </w:r>
      </w:hyperlink>
      <w:r>
        <w:t>.The SHS consists of a stratified systematic sample with a target minimum effective sample size of 250 per local authority. The SSCQ household questions are answered by the highest income householder or their spouse/partner, and one adult is randomly selected to answer the individual and crime questions, in line with the other two surveys.</w:t>
      </w:r>
    </w:p>
    <w:p w14:paraId="088D0160" w14:textId="77777777" w:rsidR="008905CC" w:rsidRDefault="007C3620">
      <w:pPr>
        <w:pStyle w:val="Heading3"/>
      </w:pPr>
      <w:bookmarkStart w:id="2" w:name="Xc6d9641495bb32191116164858cd5eaf934dedf"/>
      <w:r>
        <w:t>Impact of the COVID-19 Pandemic on the SSCQ</w:t>
      </w:r>
    </w:p>
    <w:p w14:paraId="247A8496" w14:textId="77777777" w:rsidR="008905CC" w:rsidRDefault="007C3620">
      <w:pPr>
        <w:pStyle w:val="FirstParagraph"/>
      </w:pPr>
      <w:r>
        <w:t>To help prevent the spread of COVID-19, the Scottish Government suspended face-to-face interviewing for the 3 source surveys in March 2020. This greatly impacted the fieldwork for the source surveys and led to the SCJS not taking place in 2020/2021.</w:t>
      </w:r>
    </w:p>
    <w:p w14:paraId="0B3D37A0" w14:textId="77777777" w:rsidR="008905CC" w:rsidRDefault="007C3620">
      <w:pPr>
        <w:pStyle w:val="BodyText"/>
      </w:pPr>
      <w:r>
        <w:t>Fieldwork restrictions were lifted for the 2022 fieldwork period, but many surveys still offered remote interviews and adopted a ‘knock-to-nudge’ approach. The 2023 fieldwork approaches are now aligned with pre-COVID methods.</w:t>
      </w:r>
    </w:p>
    <w:p w14:paraId="468BB364" w14:textId="77777777" w:rsidR="008905CC" w:rsidRDefault="007C3620">
      <w:pPr>
        <w:pStyle w:val="BodyText"/>
      </w:pPr>
      <w:r>
        <w:t>Due to the inconsistencies in data collection methods and the data unavailability of the SCJS in 2020/21, the SSCQ were not published for 2020 and 2021, causing a break in the time-series. The Multiyear SSCQ analysis therefore started afresh with the 2022 data. The next Multiyear SSCQ analysis covering the years 2022-2023 will be published alongside this publication (SSCQ 2023).</w:t>
      </w:r>
    </w:p>
    <w:p w14:paraId="786DDAFE" w14:textId="77777777" w:rsidR="008905CC" w:rsidRDefault="007C3620">
      <w:pPr>
        <w:pStyle w:val="BodyText"/>
      </w:pPr>
      <w:r>
        <w:t xml:space="preserve">The SSCQ 2023 are most comparable to the </w:t>
      </w:r>
      <w:hyperlink r:id="rId14">
        <w:r>
          <w:rPr>
            <w:rStyle w:val="Hyperlink"/>
          </w:rPr>
          <w:t>SSCQ 2019</w:t>
        </w:r>
      </w:hyperlink>
      <w:r>
        <w:t>.</w:t>
      </w:r>
    </w:p>
    <w:p w14:paraId="2977300C" w14:textId="77777777" w:rsidR="008905CC" w:rsidRDefault="007C3620">
      <w:pPr>
        <w:pStyle w:val="Heading2"/>
      </w:pPr>
      <w:bookmarkStart w:id="3" w:name="weighting"/>
      <w:bookmarkEnd w:id="2"/>
      <w:bookmarkEnd w:id="1"/>
      <w:r>
        <w:t>1.2 Weighting</w:t>
      </w:r>
    </w:p>
    <w:p w14:paraId="5C7AF3E1" w14:textId="77777777" w:rsidR="008905CC" w:rsidRDefault="007C3620">
      <w:pPr>
        <w:pStyle w:val="FirstParagraph"/>
      </w:pPr>
      <w:r>
        <w:t>Datasets from the three source surveys were combined into new SSCQ datasets: SSCQ household variables (x responses), SSCQ individual variables (x responses) and SSCQ crime variables (x responses).</w:t>
      </w:r>
    </w:p>
    <w:p w14:paraId="73EAEF6D" w14:textId="77777777" w:rsidR="008905CC" w:rsidRDefault="007C3620">
      <w:pPr>
        <w:pStyle w:val="BodyText"/>
      </w:pPr>
      <w:r>
        <w:t>SSCQ household variables are household type, tenure and car access.</w:t>
      </w:r>
    </w:p>
    <w:p w14:paraId="16F02FFF" w14:textId="77777777" w:rsidR="008905CC" w:rsidRDefault="007C3620">
      <w:pPr>
        <w:pStyle w:val="BodyText"/>
      </w:pPr>
      <w:r>
        <w:t>SSCQ individual variables are self-assessed general health, limiting long-term health conditions, smoking, unpaid care provision, mental wellbeing, highest achieved qualification, economic activity, country of birth, ethnic group, religion, veteran status, marital status, sexual orientation, sex and age.</w:t>
      </w:r>
    </w:p>
    <w:p w14:paraId="176E05CF" w14:textId="77777777" w:rsidR="008905CC" w:rsidRDefault="007C3620">
      <w:pPr>
        <w:pStyle w:val="BodyText"/>
      </w:pPr>
      <w:r>
        <w:t>SSCQ crime variables are perception of local crime rate and six questions on perceptions of police performance.</w:t>
      </w:r>
    </w:p>
    <w:p w14:paraId="72E18434" w14:textId="77777777" w:rsidR="008905CC" w:rsidRDefault="007C3620">
      <w:pPr>
        <w:pStyle w:val="BodyText"/>
      </w:pPr>
      <w:r>
        <w:t xml:space="preserve">Each variable response category (i.e., household, individual, crime) in each of the surveys carries a different design effect. If we were solely seeking the most efficient estimate for each variable separately, then separate scale factors could be derived for each one. </w:t>
      </w:r>
      <w:r>
        <w:lastRenderedPageBreak/>
        <w:t>However, this would restrict the use of the dataset. Rather, for each constituent survey dataset the design effects were estimated for each category and then the median design effect over all categories was used as the representative design effect of that survey. These design effects were then used along with the sample sizes to calculate the effective sample sizes (neff) and scaling factors for combining the three datasets.</w:t>
      </w:r>
    </w:p>
    <w:p w14:paraId="5099ACF6" w14:textId="0A0E4255" w:rsidR="008905CC" w:rsidRDefault="007E4471">
      <w:pPr>
        <w:pStyle w:val="Heading3"/>
      </w:pPr>
      <w:bookmarkStart w:id="4" w:name="X28baa1680a77ffecff37a31ef3fa25bf9767971"/>
      <w:r>
        <w:t>T</w:t>
      </w:r>
      <w:r w:rsidR="007C3620">
        <w:t>able 1: sample and neff from source surveys</w:t>
      </w:r>
    </w:p>
    <w:tbl>
      <w:tblPr>
        <w:tblStyle w:val="TableGrid"/>
        <w:tblW w:w="9687" w:type="dxa"/>
        <w:tblLook w:val="04A0" w:firstRow="1" w:lastRow="0" w:firstColumn="1" w:lastColumn="0" w:noHBand="0" w:noVBand="1"/>
      </w:tblPr>
      <w:tblGrid>
        <w:gridCol w:w="1936"/>
        <w:gridCol w:w="968"/>
        <w:gridCol w:w="969"/>
        <w:gridCol w:w="969"/>
        <w:gridCol w:w="969"/>
        <w:gridCol w:w="968"/>
        <w:gridCol w:w="969"/>
        <w:gridCol w:w="969"/>
        <w:gridCol w:w="970"/>
      </w:tblGrid>
      <w:tr w:rsidR="007E4471" w14:paraId="1FA3FE39" w14:textId="77777777" w:rsidTr="007E4471">
        <w:trPr>
          <w:trHeight w:val="269"/>
        </w:trPr>
        <w:tc>
          <w:tcPr>
            <w:tcW w:w="1937" w:type="dxa"/>
            <w:shd w:val="clear" w:color="auto" w:fill="DAE9F7" w:themeFill="text2" w:themeFillTint="1A"/>
          </w:tcPr>
          <w:p w14:paraId="44E861C6" w14:textId="77777777" w:rsidR="007E4471" w:rsidRDefault="007E4471" w:rsidP="007E4471">
            <w:pPr>
              <w:pStyle w:val="BodyText"/>
            </w:pPr>
          </w:p>
        </w:tc>
        <w:tc>
          <w:tcPr>
            <w:tcW w:w="1937" w:type="dxa"/>
            <w:gridSpan w:val="2"/>
            <w:shd w:val="clear" w:color="auto" w:fill="DAE9F7" w:themeFill="text2" w:themeFillTint="1A"/>
          </w:tcPr>
          <w:p w14:paraId="21FBC385" w14:textId="6589BAC7" w:rsidR="007E4471" w:rsidRPr="007E4471" w:rsidRDefault="007E4471" w:rsidP="007E4471">
            <w:pPr>
              <w:pStyle w:val="BodyText"/>
              <w:jc w:val="center"/>
              <w:rPr>
                <w:b/>
                <w:bCs/>
              </w:rPr>
            </w:pPr>
            <w:r>
              <w:rPr>
                <w:b/>
                <w:bCs/>
              </w:rPr>
              <w:t>SCJS</w:t>
            </w:r>
          </w:p>
        </w:tc>
        <w:tc>
          <w:tcPr>
            <w:tcW w:w="1937" w:type="dxa"/>
            <w:gridSpan w:val="2"/>
            <w:shd w:val="clear" w:color="auto" w:fill="DAE9F7" w:themeFill="text2" w:themeFillTint="1A"/>
          </w:tcPr>
          <w:p w14:paraId="52888FF2" w14:textId="266EFFB9" w:rsidR="007E4471" w:rsidRPr="007E4471" w:rsidRDefault="007E4471" w:rsidP="007E4471">
            <w:pPr>
              <w:pStyle w:val="BodyText"/>
              <w:jc w:val="center"/>
              <w:rPr>
                <w:b/>
                <w:bCs/>
              </w:rPr>
            </w:pPr>
            <w:r>
              <w:rPr>
                <w:b/>
                <w:bCs/>
              </w:rPr>
              <w:t>SHeS</w:t>
            </w:r>
          </w:p>
        </w:tc>
        <w:tc>
          <w:tcPr>
            <w:tcW w:w="1937" w:type="dxa"/>
            <w:gridSpan w:val="2"/>
            <w:shd w:val="clear" w:color="auto" w:fill="DAE9F7" w:themeFill="text2" w:themeFillTint="1A"/>
          </w:tcPr>
          <w:p w14:paraId="5C070D74" w14:textId="1267E777" w:rsidR="007E4471" w:rsidRPr="007E4471" w:rsidRDefault="007E4471" w:rsidP="007E4471">
            <w:pPr>
              <w:pStyle w:val="BodyText"/>
              <w:jc w:val="center"/>
              <w:rPr>
                <w:b/>
                <w:bCs/>
              </w:rPr>
            </w:pPr>
            <w:r>
              <w:rPr>
                <w:b/>
                <w:bCs/>
              </w:rPr>
              <w:t>SHS</w:t>
            </w:r>
          </w:p>
        </w:tc>
        <w:tc>
          <w:tcPr>
            <w:tcW w:w="1939" w:type="dxa"/>
            <w:gridSpan w:val="2"/>
            <w:shd w:val="clear" w:color="auto" w:fill="DAE9F7" w:themeFill="text2" w:themeFillTint="1A"/>
          </w:tcPr>
          <w:p w14:paraId="159C137A" w14:textId="2B91372C" w:rsidR="007E4471" w:rsidRPr="007E4471" w:rsidRDefault="007E4471" w:rsidP="007E4471">
            <w:pPr>
              <w:pStyle w:val="BodyText"/>
              <w:jc w:val="center"/>
              <w:rPr>
                <w:b/>
                <w:bCs/>
              </w:rPr>
            </w:pPr>
            <w:r>
              <w:rPr>
                <w:b/>
                <w:bCs/>
              </w:rPr>
              <w:t>SSCQ</w:t>
            </w:r>
          </w:p>
        </w:tc>
      </w:tr>
      <w:tr w:rsidR="007E4471" w14:paraId="4A0CF6E7" w14:textId="77777777" w:rsidTr="002B1006">
        <w:trPr>
          <w:trHeight w:val="538"/>
        </w:trPr>
        <w:tc>
          <w:tcPr>
            <w:tcW w:w="1937" w:type="dxa"/>
            <w:shd w:val="clear" w:color="auto" w:fill="DAE9F7" w:themeFill="text2" w:themeFillTint="1A"/>
          </w:tcPr>
          <w:p w14:paraId="715C8E72" w14:textId="77777777" w:rsidR="007E4471" w:rsidRDefault="007E4471" w:rsidP="007E4471">
            <w:pPr>
              <w:pStyle w:val="BodyText"/>
            </w:pPr>
          </w:p>
        </w:tc>
        <w:tc>
          <w:tcPr>
            <w:tcW w:w="968" w:type="dxa"/>
            <w:shd w:val="clear" w:color="auto" w:fill="DAE9F7" w:themeFill="text2" w:themeFillTint="1A"/>
          </w:tcPr>
          <w:p w14:paraId="483960F2" w14:textId="3F6B0683" w:rsidR="007E4471" w:rsidRPr="00121F12" w:rsidRDefault="00121F12" w:rsidP="00121F12">
            <w:pPr>
              <w:pStyle w:val="BodyText"/>
              <w:jc w:val="center"/>
              <w:rPr>
                <w:b/>
                <w:bCs/>
                <w:sz w:val="22"/>
                <w:szCs w:val="22"/>
              </w:rPr>
            </w:pPr>
            <w:r>
              <w:rPr>
                <w:b/>
                <w:bCs/>
                <w:sz w:val="22"/>
                <w:szCs w:val="22"/>
              </w:rPr>
              <w:t>sample</w:t>
            </w:r>
          </w:p>
        </w:tc>
        <w:tc>
          <w:tcPr>
            <w:tcW w:w="969" w:type="dxa"/>
            <w:shd w:val="clear" w:color="auto" w:fill="DAE9F7" w:themeFill="text2" w:themeFillTint="1A"/>
          </w:tcPr>
          <w:p w14:paraId="5C490565" w14:textId="4E277442" w:rsidR="007E4471" w:rsidRPr="00121F12" w:rsidRDefault="00121F12" w:rsidP="00121F12">
            <w:pPr>
              <w:pStyle w:val="BodyText"/>
              <w:jc w:val="center"/>
              <w:rPr>
                <w:b/>
                <w:bCs/>
                <w:sz w:val="22"/>
                <w:szCs w:val="22"/>
              </w:rPr>
            </w:pPr>
            <w:r>
              <w:rPr>
                <w:b/>
                <w:bCs/>
                <w:sz w:val="22"/>
                <w:szCs w:val="22"/>
              </w:rPr>
              <w:t>neff</w:t>
            </w:r>
          </w:p>
        </w:tc>
        <w:tc>
          <w:tcPr>
            <w:tcW w:w="969" w:type="dxa"/>
            <w:shd w:val="clear" w:color="auto" w:fill="DAE9F7" w:themeFill="text2" w:themeFillTint="1A"/>
          </w:tcPr>
          <w:p w14:paraId="7860D997" w14:textId="429BD02C" w:rsidR="007E4471" w:rsidRPr="00121F12" w:rsidRDefault="00121F12" w:rsidP="00121F12">
            <w:pPr>
              <w:pStyle w:val="BodyText"/>
              <w:jc w:val="center"/>
              <w:rPr>
                <w:b/>
                <w:bCs/>
                <w:sz w:val="22"/>
                <w:szCs w:val="22"/>
              </w:rPr>
            </w:pPr>
            <w:r>
              <w:rPr>
                <w:b/>
                <w:bCs/>
                <w:sz w:val="22"/>
                <w:szCs w:val="22"/>
              </w:rPr>
              <w:t>sample</w:t>
            </w:r>
          </w:p>
        </w:tc>
        <w:tc>
          <w:tcPr>
            <w:tcW w:w="969" w:type="dxa"/>
            <w:shd w:val="clear" w:color="auto" w:fill="DAE9F7" w:themeFill="text2" w:themeFillTint="1A"/>
          </w:tcPr>
          <w:p w14:paraId="36887742" w14:textId="3EA7EA8C" w:rsidR="007E4471" w:rsidRPr="00121F12" w:rsidRDefault="00121F12" w:rsidP="00121F12">
            <w:pPr>
              <w:pStyle w:val="BodyText"/>
              <w:jc w:val="center"/>
              <w:rPr>
                <w:b/>
                <w:bCs/>
                <w:sz w:val="22"/>
                <w:szCs w:val="22"/>
              </w:rPr>
            </w:pPr>
            <w:r>
              <w:rPr>
                <w:b/>
                <w:bCs/>
                <w:sz w:val="22"/>
                <w:szCs w:val="22"/>
              </w:rPr>
              <w:t>neff</w:t>
            </w:r>
          </w:p>
        </w:tc>
        <w:tc>
          <w:tcPr>
            <w:tcW w:w="968" w:type="dxa"/>
            <w:shd w:val="clear" w:color="auto" w:fill="DAE9F7" w:themeFill="text2" w:themeFillTint="1A"/>
          </w:tcPr>
          <w:p w14:paraId="2C53ED21" w14:textId="0FE60426" w:rsidR="007E4471" w:rsidRPr="00121F12" w:rsidRDefault="00121F12" w:rsidP="00121F12">
            <w:pPr>
              <w:pStyle w:val="BodyText"/>
              <w:jc w:val="center"/>
              <w:rPr>
                <w:b/>
                <w:bCs/>
                <w:sz w:val="22"/>
                <w:szCs w:val="22"/>
              </w:rPr>
            </w:pPr>
            <w:r>
              <w:rPr>
                <w:b/>
                <w:bCs/>
                <w:sz w:val="22"/>
                <w:szCs w:val="22"/>
              </w:rPr>
              <w:t>sample</w:t>
            </w:r>
          </w:p>
        </w:tc>
        <w:tc>
          <w:tcPr>
            <w:tcW w:w="969" w:type="dxa"/>
            <w:shd w:val="clear" w:color="auto" w:fill="DAE9F7" w:themeFill="text2" w:themeFillTint="1A"/>
          </w:tcPr>
          <w:p w14:paraId="2ABCCFC6" w14:textId="6F0F1E94" w:rsidR="007E4471" w:rsidRPr="00121F12" w:rsidRDefault="00121F12" w:rsidP="00121F12">
            <w:pPr>
              <w:pStyle w:val="BodyText"/>
              <w:jc w:val="center"/>
              <w:rPr>
                <w:b/>
                <w:bCs/>
                <w:sz w:val="22"/>
                <w:szCs w:val="22"/>
              </w:rPr>
            </w:pPr>
            <w:r>
              <w:rPr>
                <w:b/>
                <w:bCs/>
                <w:sz w:val="22"/>
                <w:szCs w:val="22"/>
              </w:rPr>
              <w:t>neff</w:t>
            </w:r>
          </w:p>
        </w:tc>
        <w:tc>
          <w:tcPr>
            <w:tcW w:w="969" w:type="dxa"/>
            <w:shd w:val="clear" w:color="auto" w:fill="DAE9F7" w:themeFill="text2" w:themeFillTint="1A"/>
          </w:tcPr>
          <w:p w14:paraId="287BAF08" w14:textId="661FCCD5" w:rsidR="007E4471" w:rsidRPr="00121F12" w:rsidRDefault="00121F12" w:rsidP="00121F12">
            <w:pPr>
              <w:pStyle w:val="BodyText"/>
              <w:jc w:val="center"/>
              <w:rPr>
                <w:b/>
                <w:bCs/>
                <w:sz w:val="22"/>
                <w:szCs w:val="22"/>
              </w:rPr>
            </w:pPr>
            <w:r>
              <w:rPr>
                <w:b/>
                <w:bCs/>
                <w:sz w:val="22"/>
                <w:szCs w:val="22"/>
              </w:rPr>
              <w:t>sample</w:t>
            </w:r>
          </w:p>
        </w:tc>
        <w:tc>
          <w:tcPr>
            <w:tcW w:w="969" w:type="dxa"/>
            <w:shd w:val="clear" w:color="auto" w:fill="DAE9F7" w:themeFill="text2" w:themeFillTint="1A"/>
          </w:tcPr>
          <w:p w14:paraId="65C4CD83" w14:textId="177CF658" w:rsidR="007E4471" w:rsidRPr="00121F12" w:rsidRDefault="00121F12" w:rsidP="00121F12">
            <w:pPr>
              <w:pStyle w:val="BodyText"/>
              <w:jc w:val="center"/>
              <w:rPr>
                <w:b/>
                <w:bCs/>
                <w:sz w:val="22"/>
                <w:szCs w:val="22"/>
              </w:rPr>
            </w:pPr>
            <w:r>
              <w:rPr>
                <w:b/>
                <w:bCs/>
                <w:sz w:val="22"/>
                <w:szCs w:val="22"/>
              </w:rPr>
              <w:t>neff</w:t>
            </w:r>
          </w:p>
        </w:tc>
      </w:tr>
      <w:tr w:rsidR="007E4471" w14:paraId="77216C3B" w14:textId="77777777" w:rsidTr="007E4471">
        <w:trPr>
          <w:trHeight w:val="529"/>
        </w:trPr>
        <w:tc>
          <w:tcPr>
            <w:tcW w:w="1937" w:type="dxa"/>
          </w:tcPr>
          <w:p w14:paraId="6E68CD5D" w14:textId="668B245F" w:rsidR="007E4471" w:rsidRPr="00121F12" w:rsidRDefault="00121F12" w:rsidP="007E4471">
            <w:pPr>
              <w:pStyle w:val="BodyText"/>
              <w:rPr>
                <w:sz w:val="20"/>
                <w:szCs w:val="20"/>
              </w:rPr>
            </w:pPr>
            <w:r>
              <w:rPr>
                <w:sz w:val="20"/>
                <w:szCs w:val="20"/>
              </w:rPr>
              <w:t>Household responses</w:t>
            </w:r>
          </w:p>
        </w:tc>
        <w:tc>
          <w:tcPr>
            <w:tcW w:w="968" w:type="dxa"/>
            <w:shd w:val="clear" w:color="auto" w:fill="FFFFFF" w:themeFill="background1"/>
          </w:tcPr>
          <w:p w14:paraId="61BECF93" w14:textId="6FDCA7C6" w:rsidR="007E4471" w:rsidRDefault="0050509E" w:rsidP="00121F12">
            <w:pPr>
              <w:pStyle w:val="BodyText"/>
              <w:jc w:val="center"/>
            </w:pPr>
            <w:r>
              <w:t>4,973</w:t>
            </w:r>
          </w:p>
        </w:tc>
        <w:tc>
          <w:tcPr>
            <w:tcW w:w="969" w:type="dxa"/>
            <w:shd w:val="clear" w:color="auto" w:fill="FFFFFF" w:themeFill="background1"/>
          </w:tcPr>
          <w:p w14:paraId="702E2EFD" w14:textId="6C77FF94" w:rsidR="007E4471" w:rsidRDefault="0050509E" w:rsidP="00121F12">
            <w:pPr>
              <w:pStyle w:val="BodyText"/>
              <w:jc w:val="center"/>
            </w:pPr>
            <w:r>
              <w:t>3,849</w:t>
            </w:r>
          </w:p>
        </w:tc>
        <w:tc>
          <w:tcPr>
            <w:tcW w:w="969" w:type="dxa"/>
            <w:shd w:val="clear" w:color="auto" w:fill="FFFFFF" w:themeFill="background1"/>
          </w:tcPr>
          <w:p w14:paraId="36CD9207" w14:textId="0738341B" w:rsidR="007E4471" w:rsidRDefault="0050509E" w:rsidP="00121F12">
            <w:pPr>
              <w:pStyle w:val="BodyText"/>
              <w:jc w:val="center"/>
            </w:pPr>
            <w:r>
              <w:t>4,089</w:t>
            </w:r>
          </w:p>
        </w:tc>
        <w:tc>
          <w:tcPr>
            <w:tcW w:w="969" w:type="dxa"/>
            <w:shd w:val="clear" w:color="auto" w:fill="FFFFFF" w:themeFill="background1"/>
          </w:tcPr>
          <w:p w14:paraId="0767E299" w14:textId="5B23ECAF" w:rsidR="007E4471" w:rsidRDefault="0050509E" w:rsidP="00121F12">
            <w:pPr>
              <w:pStyle w:val="BodyText"/>
              <w:jc w:val="center"/>
            </w:pPr>
            <w:r>
              <w:t>2,364</w:t>
            </w:r>
          </w:p>
        </w:tc>
        <w:tc>
          <w:tcPr>
            <w:tcW w:w="968" w:type="dxa"/>
            <w:shd w:val="clear" w:color="auto" w:fill="FFFFFF" w:themeFill="background1"/>
          </w:tcPr>
          <w:p w14:paraId="376CC912" w14:textId="292980C3" w:rsidR="007E4471" w:rsidRDefault="0050509E" w:rsidP="00121F12">
            <w:pPr>
              <w:pStyle w:val="BodyText"/>
              <w:jc w:val="center"/>
            </w:pPr>
            <w:r>
              <w:t>10,543</w:t>
            </w:r>
          </w:p>
        </w:tc>
        <w:tc>
          <w:tcPr>
            <w:tcW w:w="969" w:type="dxa"/>
            <w:shd w:val="clear" w:color="auto" w:fill="FFFFFF" w:themeFill="background1"/>
          </w:tcPr>
          <w:p w14:paraId="636A87EF" w14:textId="372E4EC0" w:rsidR="007E4471" w:rsidRDefault="0050509E" w:rsidP="00121F12">
            <w:pPr>
              <w:pStyle w:val="BodyText"/>
              <w:jc w:val="center"/>
            </w:pPr>
            <w:r>
              <w:t>8,698</w:t>
            </w:r>
          </w:p>
        </w:tc>
        <w:tc>
          <w:tcPr>
            <w:tcW w:w="969" w:type="dxa"/>
            <w:shd w:val="clear" w:color="auto" w:fill="FFFFFF" w:themeFill="background1"/>
          </w:tcPr>
          <w:p w14:paraId="08EDD835" w14:textId="6E984F20" w:rsidR="007E4471" w:rsidRDefault="0050509E" w:rsidP="00121F12">
            <w:pPr>
              <w:pStyle w:val="BodyText"/>
              <w:jc w:val="center"/>
            </w:pPr>
            <w:r>
              <w:t>19,605</w:t>
            </w:r>
          </w:p>
        </w:tc>
        <w:tc>
          <w:tcPr>
            <w:tcW w:w="969" w:type="dxa"/>
            <w:shd w:val="clear" w:color="auto" w:fill="FFFFFF" w:themeFill="background1"/>
          </w:tcPr>
          <w:p w14:paraId="315A7AAF" w14:textId="31757029" w:rsidR="007E4471" w:rsidRDefault="0050509E" w:rsidP="00121F12">
            <w:pPr>
              <w:pStyle w:val="BodyText"/>
              <w:jc w:val="center"/>
            </w:pPr>
            <w:r>
              <w:t>14,910</w:t>
            </w:r>
          </w:p>
        </w:tc>
      </w:tr>
      <w:tr w:rsidR="007E4471" w14:paraId="5F9214F7" w14:textId="77777777" w:rsidTr="007E4471">
        <w:trPr>
          <w:trHeight w:val="529"/>
        </w:trPr>
        <w:tc>
          <w:tcPr>
            <w:tcW w:w="1937" w:type="dxa"/>
          </w:tcPr>
          <w:p w14:paraId="5841F969" w14:textId="304DC5DA" w:rsidR="007E4471" w:rsidRPr="00121F12" w:rsidRDefault="00121F12" w:rsidP="007E4471">
            <w:pPr>
              <w:pStyle w:val="BodyText"/>
              <w:rPr>
                <w:sz w:val="20"/>
                <w:szCs w:val="20"/>
              </w:rPr>
            </w:pPr>
            <w:r>
              <w:rPr>
                <w:sz w:val="20"/>
                <w:szCs w:val="20"/>
              </w:rPr>
              <w:t>Individual responses</w:t>
            </w:r>
          </w:p>
        </w:tc>
        <w:tc>
          <w:tcPr>
            <w:tcW w:w="968" w:type="dxa"/>
            <w:shd w:val="clear" w:color="auto" w:fill="FFFFFF" w:themeFill="background1"/>
          </w:tcPr>
          <w:p w14:paraId="3BEBA4D3" w14:textId="3F885930" w:rsidR="007E4471" w:rsidRDefault="007C3620" w:rsidP="00121F12">
            <w:pPr>
              <w:pStyle w:val="BodyText"/>
              <w:jc w:val="center"/>
            </w:pPr>
            <w:r>
              <w:t>4,973</w:t>
            </w:r>
          </w:p>
        </w:tc>
        <w:tc>
          <w:tcPr>
            <w:tcW w:w="969" w:type="dxa"/>
            <w:shd w:val="clear" w:color="auto" w:fill="FFFFFF" w:themeFill="background1"/>
          </w:tcPr>
          <w:p w14:paraId="5A1F19AD" w14:textId="4B24920B" w:rsidR="007E4471" w:rsidRDefault="007C3620" w:rsidP="00121F12">
            <w:pPr>
              <w:pStyle w:val="BodyText"/>
              <w:jc w:val="center"/>
            </w:pPr>
            <w:r>
              <w:t>3,089</w:t>
            </w:r>
          </w:p>
        </w:tc>
        <w:tc>
          <w:tcPr>
            <w:tcW w:w="969" w:type="dxa"/>
            <w:shd w:val="clear" w:color="auto" w:fill="FFFFFF" w:themeFill="background1"/>
          </w:tcPr>
          <w:p w14:paraId="7628F8AE" w14:textId="20FE7345" w:rsidR="007E4471" w:rsidRDefault="007C3620" w:rsidP="00121F12">
            <w:pPr>
              <w:pStyle w:val="BodyText"/>
              <w:jc w:val="center"/>
            </w:pPr>
            <w:r>
              <w:t>4,949</w:t>
            </w:r>
          </w:p>
        </w:tc>
        <w:tc>
          <w:tcPr>
            <w:tcW w:w="969" w:type="dxa"/>
            <w:shd w:val="clear" w:color="auto" w:fill="FFFFFF" w:themeFill="background1"/>
          </w:tcPr>
          <w:p w14:paraId="1CD92E90" w14:textId="4B8E1A6D" w:rsidR="007E4471" w:rsidRDefault="007C3620" w:rsidP="00121F12">
            <w:pPr>
              <w:pStyle w:val="BodyText"/>
              <w:jc w:val="center"/>
            </w:pPr>
            <w:r>
              <w:t>2,264</w:t>
            </w:r>
          </w:p>
        </w:tc>
        <w:tc>
          <w:tcPr>
            <w:tcW w:w="968" w:type="dxa"/>
            <w:shd w:val="clear" w:color="auto" w:fill="FFFFFF" w:themeFill="background1"/>
          </w:tcPr>
          <w:p w14:paraId="52DC0DD2" w14:textId="76913C6F" w:rsidR="007E4471" w:rsidRDefault="007C3620" w:rsidP="00121F12">
            <w:pPr>
              <w:pStyle w:val="BodyText"/>
              <w:jc w:val="center"/>
            </w:pPr>
            <w:r>
              <w:t>9,746</w:t>
            </w:r>
          </w:p>
        </w:tc>
        <w:tc>
          <w:tcPr>
            <w:tcW w:w="969" w:type="dxa"/>
            <w:shd w:val="clear" w:color="auto" w:fill="FFFFFF" w:themeFill="background1"/>
          </w:tcPr>
          <w:p w14:paraId="5F0B2461" w14:textId="3B9332DD" w:rsidR="007E4471" w:rsidRDefault="007C3620" w:rsidP="00121F12">
            <w:pPr>
              <w:pStyle w:val="BodyText"/>
              <w:jc w:val="center"/>
            </w:pPr>
            <w:r>
              <w:t>6,715</w:t>
            </w:r>
          </w:p>
        </w:tc>
        <w:tc>
          <w:tcPr>
            <w:tcW w:w="969" w:type="dxa"/>
            <w:shd w:val="clear" w:color="auto" w:fill="FFFFFF" w:themeFill="background1"/>
          </w:tcPr>
          <w:p w14:paraId="497F7714" w14:textId="7D4A63F0" w:rsidR="007E4471" w:rsidRDefault="007C3620" w:rsidP="00121F12">
            <w:pPr>
              <w:pStyle w:val="BodyText"/>
              <w:jc w:val="center"/>
            </w:pPr>
            <w:r>
              <w:t>19,668</w:t>
            </w:r>
          </w:p>
        </w:tc>
        <w:tc>
          <w:tcPr>
            <w:tcW w:w="969" w:type="dxa"/>
            <w:shd w:val="clear" w:color="auto" w:fill="FFFFFF" w:themeFill="background1"/>
          </w:tcPr>
          <w:p w14:paraId="4572C8E7" w14:textId="4D046B73" w:rsidR="007E4471" w:rsidRDefault="007C3620" w:rsidP="00121F12">
            <w:pPr>
              <w:pStyle w:val="BodyText"/>
              <w:jc w:val="center"/>
            </w:pPr>
            <w:r>
              <w:t>12,068</w:t>
            </w:r>
          </w:p>
        </w:tc>
      </w:tr>
      <w:tr w:rsidR="007E4471" w14:paraId="5574A862" w14:textId="77777777" w:rsidTr="007E4471">
        <w:trPr>
          <w:trHeight w:val="529"/>
        </w:trPr>
        <w:tc>
          <w:tcPr>
            <w:tcW w:w="1937" w:type="dxa"/>
          </w:tcPr>
          <w:p w14:paraId="023B39C7" w14:textId="145E2A7D" w:rsidR="007E4471" w:rsidRPr="00121F12" w:rsidRDefault="00121F12" w:rsidP="007E4471">
            <w:pPr>
              <w:pStyle w:val="BodyText"/>
              <w:rPr>
                <w:sz w:val="20"/>
                <w:szCs w:val="20"/>
              </w:rPr>
            </w:pPr>
            <w:r>
              <w:rPr>
                <w:sz w:val="20"/>
                <w:szCs w:val="20"/>
              </w:rPr>
              <w:t>Crime responses</w:t>
            </w:r>
          </w:p>
        </w:tc>
        <w:tc>
          <w:tcPr>
            <w:tcW w:w="968" w:type="dxa"/>
            <w:shd w:val="clear" w:color="auto" w:fill="FFFFFF" w:themeFill="background1"/>
          </w:tcPr>
          <w:p w14:paraId="3741E1B3" w14:textId="0F09E385" w:rsidR="007E4471" w:rsidRDefault="007C3620" w:rsidP="00121F12">
            <w:pPr>
              <w:pStyle w:val="BodyText"/>
              <w:jc w:val="center"/>
            </w:pPr>
            <w:r>
              <w:t>4,973</w:t>
            </w:r>
          </w:p>
        </w:tc>
        <w:tc>
          <w:tcPr>
            <w:tcW w:w="969" w:type="dxa"/>
            <w:shd w:val="clear" w:color="auto" w:fill="FFFFFF" w:themeFill="background1"/>
          </w:tcPr>
          <w:p w14:paraId="757C4E97" w14:textId="4008F5AE" w:rsidR="007E4471" w:rsidRDefault="007C3620" w:rsidP="00121F12">
            <w:pPr>
              <w:pStyle w:val="BodyText"/>
              <w:jc w:val="center"/>
            </w:pPr>
            <w:r>
              <w:t>3,023</w:t>
            </w:r>
          </w:p>
        </w:tc>
        <w:tc>
          <w:tcPr>
            <w:tcW w:w="969" w:type="dxa"/>
            <w:shd w:val="clear" w:color="auto" w:fill="FFFFFF" w:themeFill="background1"/>
          </w:tcPr>
          <w:p w14:paraId="3CDFEA65" w14:textId="197F05FF" w:rsidR="007E4471" w:rsidRDefault="007C3620" w:rsidP="00121F12">
            <w:pPr>
              <w:pStyle w:val="BodyText"/>
              <w:jc w:val="center"/>
            </w:pPr>
            <w:r>
              <w:t>n/a</w:t>
            </w:r>
          </w:p>
        </w:tc>
        <w:tc>
          <w:tcPr>
            <w:tcW w:w="969" w:type="dxa"/>
            <w:shd w:val="clear" w:color="auto" w:fill="FFFFFF" w:themeFill="background1"/>
          </w:tcPr>
          <w:p w14:paraId="75300220" w14:textId="4C94F237" w:rsidR="007E4471" w:rsidRDefault="007C3620" w:rsidP="00121F12">
            <w:pPr>
              <w:pStyle w:val="BodyText"/>
              <w:jc w:val="center"/>
            </w:pPr>
            <w:r>
              <w:t>n/a</w:t>
            </w:r>
          </w:p>
        </w:tc>
        <w:tc>
          <w:tcPr>
            <w:tcW w:w="968" w:type="dxa"/>
            <w:shd w:val="clear" w:color="auto" w:fill="FFFFFF" w:themeFill="background1"/>
          </w:tcPr>
          <w:p w14:paraId="4DCE72DF" w14:textId="68F6DEB6" w:rsidR="007E4471" w:rsidRDefault="007C3620" w:rsidP="00121F12">
            <w:pPr>
              <w:pStyle w:val="BodyText"/>
              <w:jc w:val="center"/>
            </w:pPr>
            <w:r>
              <w:t>9,746</w:t>
            </w:r>
          </w:p>
        </w:tc>
        <w:tc>
          <w:tcPr>
            <w:tcW w:w="969" w:type="dxa"/>
            <w:shd w:val="clear" w:color="auto" w:fill="FFFFFF" w:themeFill="background1"/>
          </w:tcPr>
          <w:p w14:paraId="0419A890" w14:textId="2E06F59C" w:rsidR="007E4471" w:rsidRDefault="007C3620" w:rsidP="00121F12">
            <w:pPr>
              <w:pStyle w:val="BodyText"/>
              <w:jc w:val="center"/>
            </w:pPr>
            <w:r>
              <w:t>6,523</w:t>
            </w:r>
          </w:p>
        </w:tc>
        <w:tc>
          <w:tcPr>
            <w:tcW w:w="969" w:type="dxa"/>
            <w:shd w:val="clear" w:color="auto" w:fill="FFFFFF" w:themeFill="background1"/>
          </w:tcPr>
          <w:p w14:paraId="67643DBA" w14:textId="28EF38F9" w:rsidR="007E4471" w:rsidRDefault="007C3620" w:rsidP="00121F12">
            <w:pPr>
              <w:pStyle w:val="BodyText"/>
              <w:jc w:val="center"/>
            </w:pPr>
            <w:r>
              <w:t>14,719</w:t>
            </w:r>
          </w:p>
        </w:tc>
        <w:tc>
          <w:tcPr>
            <w:tcW w:w="969" w:type="dxa"/>
            <w:shd w:val="clear" w:color="auto" w:fill="FFFFFF" w:themeFill="background1"/>
          </w:tcPr>
          <w:p w14:paraId="48BEA960" w14:textId="3E7DC05D" w:rsidR="007E4471" w:rsidRDefault="007C3620" w:rsidP="00121F12">
            <w:pPr>
              <w:pStyle w:val="BodyText"/>
              <w:jc w:val="center"/>
            </w:pPr>
            <w:r>
              <w:t>9,546</w:t>
            </w:r>
          </w:p>
        </w:tc>
      </w:tr>
    </w:tbl>
    <w:p w14:paraId="328D2CC3" w14:textId="77777777" w:rsidR="008905CC" w:rsidRDefault="007C3620">
      <w:pPr>
        <w:pStyle w:val="FirstParagraph"/>
      </w:pPr>
      <w:r>
        <w:t>To combine the data, the scale factors were applied to the grossing weights for the individual surveys (described in section 1.1). The neff of each survey contribution formed the basis for the scaling factors:</w:t>
      </w:r>
    </w:p>
    <w:p w14:paraId="6CFB150C" w14:textId="77777777" w:rsidR="008905CC" w:rsidRDefault="007C3620">
      <w:pPr>
        <w:pStyle w:val="BodyText"/>
      </w:pPr>
      <w:r>
        <w:t>survey A weight scaling factor = neff (surveyA) / (sum of three survey neffs).</w:t>
      </w:r>
    </w:p>
    <w:p w14:paraId="77634FE3" w14:textId="77777777" w:rsidR="008905CC" w:rsidRDefault="007C3620">
      <w:pPr>
        <w:pStyle w:val="BodyText"/>
      </w:pPr>
      <w:r>
        <w:t>The weights were then re-scaled to be proportionate to the effective sample size contribution of each survey and used as pre-weights. The three pooled survey datasets were then weighted again to be representative across Scotland. For the SHS and SCJS, this is the total estimated population in Scotland. For the SHeS, this is the estimated population of Scotland living in private households. In order to include the SHeS survey data in the SSCQ, new pooled weights were calculated to make the data representativ</w:t>
      </w:r>
      <w:r>
        <w:t>e to this higher number, the total population of Scotland.</w:t>
      </w:r>
    </w:p>
    <w:p w14:paraId="37FCB246" w14:textId="77777777" w:rsidR="008905CC" w:rsidRDefault="007C3620">
      <w:pPr>
        <w:pStyle w:val="BodyText"/>
      </w:pPr>
      <w:r>
        <w:t xml:space="preserve">As a result of this </w:t>
      </w:r>
      <w:r>
        <w:rPr>
          <w:i/>
          <w:iCs/>
        </w:rPr>
        <w:t>(together with some differences in the way that ‘refused’ and ‘don’t know’ responses are dealt with, which are described in section 1.6)</w:t>
      </w:r>
      <w:r>
        <w:t>, the SHeS figures included in the SSCQ will be different to those published by the SHeS, because the data has been weighted to different population totals. Users should refer to the individual surveys for the key national indicators but may use the SSCQ for break-downs by equality groupings and small areas.</w:t>
      </w:r>
    </w:p>
    <w:p w14:paraId="744FF62D" w14:textId="77777777" w:rsidR="008905CC" w:rsidRDefault="007C3620">
      <w:pPr>
        <w:pStyle w:val="BodyText"/>
      </w:pPr>
      <w:r>
        <w:t xml:space="preserve">SSCQ 2023 Weighting Bases are published in the </w:t>
      </w:r>
      <w:hyperlink r:id="rId15">
        <w:r>
          <w:rPr>
            <w:rStyle w:val="Hyperlink"/>
          </w:rPr>
          <w:t>Supporting Documents</w:t>
        </w:r>
      </w:hyperlink>
      <w:r>
        <w:t xml:space="preserve"> section on the website.</w:t>
      </w:r>
    </w:p>
    <w:p w14:paraId="3AA418E1" w14:textId="77777777" w:rsidR="008905CC" w:rsidRDefault="007C3620">
      <w:pPr>
        <w:pStyle w:val="Heading2"/>
      </w:pPr>
      <w:bookmarkStart w:id="5" w:name="confidence-interval-calculations"/>
      <w:bookmarkEnd w:id="4"/>
      <w:bookmarkEnd w:id="3"/>
      <w:r>
        <w:lastRenderedPageBreak/>
        <w:t>1.3 Confidence Interval Calculations</w:t>
      </w:r>
    </w:p>
    <w:p w14:paraId="445B4562" w14:textId="77777777" w:rsidR="008905CC" w:rsidRDefault="007C3620">
      <w:pPr>
        <w:pStyle w:val="FirstParagraph"/>
      </w:pPr>
      <w:r>
        <w:t>All three source surveys are stratified to ensure sufficient sample sizes in smaller local authorities. SHeS is clustered in each annual fieldwork period and, while this effect cancels out over each four-year period, must be accounted for in producing annual results.</w:t>
      </w:r>
    </w:p>
    <w:p w14:paraId="7C818BAD" w14:textId="77777777" w:rsidR="008905CC" w:rsidRDefault="007C3620">
      <w:pPr>
        <w:pStyle w:val="BodyText"/>
      </w:pPr>
      <w:r>
        <w:t xml:space="preserve">Confidence intervals have been calculated using a method to account for stratification, weights and clustering (surveyfreq in SAS and/or svymean in R). In the case of negative lower confidence interval limits, values were replaced by 0 as population percentages always range between 0% and 100%. Confidence intervals across all subgroup estimates in SSCQ are provided in the accompanying Supplementary Tables in the </w:t>
      </w:r>
      <w:hyperlink r:id="rId16">
        <w:r>
          <w:rPr>
            <w:rStyle w:val="Hyperlink"/>
          </w:rPr>
          <w:t>Supporting Documents</w:t>
        </w:r>
      </w:hyperlink>
      <w:r>
        <w:t xml:space="preserve"> section on the website.</w:t>
      </w:r>
    </w:p>
    <w:p w14:paraId="10D86C34" w14:textId="77777777" w:rsidR="008905CC" w:rsidRDefault="007C3620">
      <w:pPr>
        <w:pStyle w:val="BodyText"/>
      </w:pPr>
      <w:r>
        <w:t xml:space="preserve">Confidence intervals (at a 95% level) are plotted on point estimates for all charts and figures in the tables and reports. If the intervals surrounding two different point estimates do not overlap, then there is a significant difference between the two points. However, if they do overlap, it does not necessarily mean there is no significant difference (see </w:t>
      </w:r>
      <w:hyperlink r:id="rId17">
        <w:r>
          <w:rPr>
            <w:rStyle w:val="Hyperlink"/>
          </w:rPr>
          <w:t>further guidance</w:t>
        </w:r>
      </w:hyperlink>
      <w:r>
        <w:t>).</w:t>
      </w:r>
    </w:p>
    <w:p w14:paraId="59BBC036" w14:textId="77777777" w:rsidR="008905CC" w:rsidRDefault="007C3620">
      <w:pPr>
        <w:pStyle w:val="BodyText"/>
      </w:pPr>
      <w:r>
        <w:t>A comparison of estimates of key variables across the three constituent surveys and the SSCQ are provided in Annex A.</w:t>
      </w:r>
    </w:p>
    <w:p w14:paraId="12C9AFBC" w14:textId="77777777" w:rsidR="008905CC" w:rsidRDefault="007C3620">
      <w:pPr>
        <w:pStyle w:val="Heading2"/>
      </w:pPr>
      <w:bookmarkStart w:id="6" w:name="statistical-disclosure-control"/>
      <w:bookmarkEnd w:id="5"/>
      <w:r>
        <w:t>1.4 Statistical Disclosure Control</w:t>
      </w:r>
    </w:p>
    <w:p w14:paraId="5E678A26" w14:textId="77777777" w:rsidR="008905CC" w:rsidRDefault="007C3620">
      <w:pPr>
        <w:pStyle w:val="FirstParagraph"/>
      </w:pPr>
      <w:r>
        <w:t>In the supplementary tables, all estimates based on five or fewer respondents have been denoted with ‘*’ to safeguard the confidentiality of respondents with rare characteristics. Cells with true zero counts are denoted with ‘.’ or 0 throughout, unless denoted ‘*’ as part of disclosure control. Further cells with zero or low respondent numbers in the same row and column as the low responses have also been suppressed with ‘*’ to ensure confidentiality.</w:t>
      </w:r>
    </w:p>
    <w:p w14:paraId="452BBF40" w14:textId="77777777" w:rsidR="008905CC" w:rsidRDefault="007C3620">
      <w:pPr>
        <w:pStyle w:val="Heading2"/>
      </w:pPr>
      <w:bookmarkStart w:id="7" w:name="accounting-for-mode-effect"/>
      <w:bookmarkEnd w:id="6"/>
      <w:r>
        <w:t>1.5 Accounting for Mode Effect</w:t>
      </w:r>
    </w:p>
    <w:p w14:paraId="3A54E639" w14:textId="77777777" w:rsidR="008905CC" w:rsidRDefault="007C3620">
      <w:pPr>
        <w:pStyle w:val="FirstParagraph"/>
      </w:pPr>
      <w:r>
        <w:t xml:space="preserve">Questions on mental wellbeing, sexual orientation, trans history and status, and veteran status are included in a </w:t>
      </w:r>
      <w:hyperlink r:id="rId18">
        <w:r>
          <w:rPr>
            <w:rStyle w:val="Hyperlink"/>
          </w:rPr>
          <w:t>self-completion questionnaire</w:t>
        </w:r>
      </w:hyperlink>
      <w:r>
        <w:t xml:space="preserve"> in the Scottish Health Survey (SHeS), whereas these questions are asked by an interviewer in the Scottish Household Survey (SHS) and the Scottish Crime and Justice Survey (SCJS). Not all respondents to the interviewer-administered element of the SHeS go on to answer questions in the self-completion element.</w:t>
      </w:r>
    </w:p>
    <w:p w14:paraId="6610E8BA" w14:textId="77777777" w:rsidR="008905CC" w:rsidRDefault="007C3620">
      <w:pPr>
        <w:pStyle w:val="BodyText"/>
      </w:pPr>
      <w:r>
        <w:t xml:space="preserve">From SSCQ 2022 (previous publication), data analysis of the pooled SSCQ questions on mental wellbeing, sexual orientation and veteran status align with the data analysis method employed by the SHeS, where prevalence rates are based on those respondents that answered each question. Previously, the SSCQ approach was to pool the data by taking account of the missing responses, but not adjusting for them, e.g. percentage yes = </w:t>
      </w:r>
      <w:r>
        <w:lastRenderedPageBreak/>
        <w:t>(number yes / (number yes + number no + number refused or missing)) x 100). This meant that for the questions included on the self-completion questionnaire in the SHeS, the response percentages were lower than for the interviewer-led questions in the SHS and SCJS. This in turn resulted in smaller pooled SSCQ numbers when combining the responses from the three surveys.</w:t>
      </w:r>
    </w:p>
    <w:p w14:paraId="31BD2779" w14:textId="77777777" w:rsidR="008905CC" w:rsidRDefault="007C3620">
      <w:pPr>
        <w:pStyle w:val="BodyText"/>
      </w:pPr>
      <w:r>
        <w:t>While the change in data analysis means that the data are now more comparable to those published in the SHeS, it also means that caution should be exercised when comparing sexual orientation with previously published SSCQ data. Caution should also be exercised when comparing mental wellbeing figures with previous years; but as this is an average score of those responding, we would not expect this to be as impacted by the change in methodology. Veteran status will be comparable this year, as the previous pub</w:t>
      </w:r>
      <w:r>
        <w:t>lication was the first time this variable was included.</w:t>
      </w:r>
    </w:p>
    <w:p w14:paraId="40A0291E" w14:textId="77777777" w:rsidR="008905CC" w:rsidRDefault="007C3620">
      <w:pPr>
        <w:pStyle w:val="Heading2"/>
      </w:pPr>
      <w:bookmarkStart w:id="8" w:name="treatment-of-non-responses"/>
      <w:bookmarkEnd w:id="7"/>
      <w:r>
        <w:t>1.6 Treatment of Non-Responses</w:t>
      </w:r>
    </w:p>
    <w:p w14:paraId="5B564DC5" w14:textId="77777777" w:rsidR="008905CC" w:rsidRDefault="007C3620">
      <w:pPr>
        <w:pStyle w:val="FirstParagraph"/>
      </w:pPr>
      <w:r>
        <w:t>Item non-responses occur when a person participates in a survey but does not provide an answer to a specific question. These responses are typically coded as ‘refused’, ‘don’t know’ or ‘prefer not to say’.</w:t>
      </w:r>
    </w:p>
    <w:p w14:paraId="18F271A9" w14:textId="77777777" w:rsidR="008905CC" w:rsidRDefault="007C3620">
      <w:pPr>
        <w:pStyle w:val="BodyText"/>
      </w:pPr>
      <w:r>
        <w:t>Although the SSCQ includes item non-responses in their calculations, ‘refused’ and ‘don’t know’ responses are excluded from any data presentations. Row totals in the Annex or the supplementary tables may therefore not add to 100%, and numbers of adults and sample may not add to the Scotland total for each cross-variable.</w:t>
      </w:r>
    </w:p>
    <w:p w14:paraId="27FF13DF" w14:textId="77777777" w:rsidR="008905CC" w:rsidRDefault="007C3620">
      <w:pPr>
        <w:pStyle w:val="BodyText"/>
      </w:pPr>
      <w:r>
        <w:t>Individual surveys may take a different approach to coding non-responses which can mean slight differences in the results presented in SSCQ. To adopt a more consistent approach within the SSCQ and align the SSCQ with its constituent surveys, we are reviewing the SSCQ methodology and handling of item non-responses.</w:t>
      </w:r>
    </w:p>
    <w:p w14:paraId="7FAA23AE" w14:textId="77777777" w:rsidR="008905CC" w:rsidRDefault="007C3620">
      <w:pPr>
        <w:pStyle w:val="Heading2"/>
      </w:pPr>
      <w:bookmarkStart w:id="9" w:name="mental-wellbeing-scoring"/>
      <w:bookmarkEnd w:id="8"/>
      <w:r>
        <w:t>1.7 Mental Wellbeing Scoring</w:t>
      </w:r>
    </w:p>
    <w:p w14:paraId="3D27C9F7" w14:textId="77777777" w:rsidR="008905CC" w:rsidRDefault="007C3620">
      <w:pPr>
        <w:pStyle w:val="FirstParagraph"/>
      </w:pPr>
      <w:r>
        <w:t xml:space="preserve">Mental wellbeing is measured using the shortened </w:t>
      </w:r>
      <w:hyperlink r:id="rId19">
        <w:r>
          <w:rPr>
            <w:rStyle w:val="Hyperlink"/>
          </w:rPr>
          <w:t>Warwick–Edinburgh Mental Wellbeing Scale (WEMWBS) questionnaire</w:t>
        </w:r>
      </w:hyperlink>
      <w:r>
        <w:t xml:space="preserve"> in the SSCQ.</w:t>
      </w:r>
    </w:p>
    <w:p w14:paraId="3A7BD708" w14:textId="77777777" w:rsidR="008905CC" w:rsidRDefault="007C3620">
      <w:pPr>
        <w:pStyle w:val="BodyText"/>
      </w:pPr>
      <w:r>
        <w:t>For background, the WEMWBS has 14 items designed to assess: positive affect (optimism, cheerfulness, relaxation) and satisfying interpersonal relationships and positive functioning (energy, clear thinking, self-acceptance, personal development, mastery and autonomy). The scale uses positively worded statements with a five-item scale ranging from “1 - none of the time” to “5 - all of the time”. The total score is the sum of these responses across the 14 questions. The scale therefore runs from 14 for the low</w:t>
      </w:r>
      <w:r>
        <w:t>est levels of mental wellbeing to 70 for the highest.</w:t>
      </w:r>
    </w:p>
    <w:p w14:paraId="3BF520A1" w14:textId="77777777" w:rsidR="008905CC" w:rsidRDefault="007C3620">
      <w:pPr>
        <w:pStyle w:val="BodyText"/>
      </w:pPr>
      <w:r>
        <w:t xml:space="preserve">SWEMWBS, as asked in the SSCQ, is </w:t>
      </w:r>
      <w:hyperlink r:id="rId20">
        <w:r>
          <w:rPr>
            <w:rStyle w:val="Hyperlink"/>
          </w:rPr>
          <w:t>a shortened version of WEMWBS which is Rasch compatible</w:t>
        </w:r>
      </w:hyperlink>
      <w:r>
        <w:t xml:space="preserve">. This means the seven items included have undergone a more rigorous test for internal consistency than the 14 item scale and have superior scaling properties. The seven items relate more to functioning than to feeling and therefore offer a slightly different </w:t>
      </w:r>
      <w:r>
        <w:lastRenderedPageBreak/>
        <w:t>perspective on mental wellbeing. However, the correlation between WEMWBS and SWEMWBS is high at 95.4%. The SWEMWBS scale runs from seven for the lowest levels of mental wellbeing to 35 for the highest.</w:t>
      </w:r>
    </w:p>
    <w:p w14:paraId="45F18858" w14:textId="77777777" w:rsidR="008905CC" w:rsidRDefault="007C3620">
      <w:pPr>
        <w:pStyle w:val="BodyText"/>
      </w:pPr>
      <w:r>
        <w:t>SWEMWBS statements are as follows:</w:t>
      </w:r>
    </w:p>
    <w:p w14:paraId="5E087939" w14:textId="77777777" w:rsidR="008905CC" w:rsidRDefault="007C3620">
      <w:pPr>
        <w:numPr>
          <w:ilvl w:val="0"/>
          <w:numId w:val="3"/>
        </w:numPr>
      </w:pPr>
      <w:r>
        <w:t>I’ve been feeling optimistic about the future</w:t>
      </w:r>
    </w:p>
    <w:p w14:paraId="061F7712" w14:textId="77777777" w:rsidR="008905CC" w:rsidRDefault="007C3620">
      <w:pPr>
        <w:numPr>
          <w:ilvl w:val="0"/>
          <w:numId w:val="3"/>
        </w:numPr>
      </w:pPr>
      <w:r>
        <w:t>I’ve been feeling useful</w:t>
      </w:r>
    </w:p>
    <w:p w14:paraId="0027AE95" w14:textId="77777777" w:rsidR="008905CC" w:rsidRDefault="007C3620">
      <w:pPr>
        <w:numPr>
          <w:ilvl w:val="0"/>
          <w:numId w:val="3"/>
        </w:numPr>
      </w:pPr>
      <w:r>
        <w:t>I’ve been feeling relaxed</w:t>
      </w:r>
    </w:p>
    <w:p w14:paraId="0D6130B8" w14:textId="77777777" w:rsidR="008905CC" w:rsidRDefault="007C3620">
      <w:pPr>
        <w:numPr>
          <w:ilvl w:val="0"/>
          <w:numId w:val="3"/>
        </w:numPr>
      </w:pPr>
      <w:r>
        <w:t>I’ve been dealing with problems well</w:t>
      </w:r>
    </w:p>
    <w:p w14:paraId="6496CB39" w14:textId="77777777" w:rsidR="008905CC" w:rsidRDefault="007C3620">
      <w:pPr>
        <w:numPr>
          <w:ilvl w:val="0"/>
          <w:numId w:val="3"/>
        </w:numPr>
      </w:pPr>
      <w:r>
        <w:t>I’ve been thinking clearly</w:t>
      </w:r>
    </w:p>
    <w:p w14:paraId="07FF43C0" w14:textId="77777777" w:rsidR="008905CC" w:rsidRDefault="007C3620">
      <w:pPr>
        <w:numPr>
          <w:ilvl w:val="0"/>
          <w:numId w:val="3"/>
        </w:numPr>
      </w:pPr>
      <w:r>
        <w:t>I’ve been feeling close to other people</w:t>
      </w:r>
    </w:p>
    <w:p w14:paraId="66D6D3F8" w14:textId="77777777" w:rsidR="008905CC" w:rsidRDefault="007C3620">
      <w:pPr>
        <w:numPr>
          <w:ilvl w:val="0"/>
          <w:numId w:val="3"/>
        </w:numPr>
      </w:pPr>
      <w:r>
        <w:t>I’ve been able to make up my own mind about things</w:t>
      </w:r>
    </w:p>
    <w:p w14:paraId="5A8ECC46" w14:textId="77777777" w:rsidR="008905CC" w:rsidRDefault="007C3620">
      <w:pPr>
        <w:pStyle w:val="FirstParagraph"/>
      </w:pPr>
      <w:r>
        <w:t xml:space="preserve">Peaks at multiples of seven are produced by column effects, where respondents are more likely to place answers down a column giving the same response for each question. SWEMWBS scores undergo a </w:t>
      </w:r>
      <w:hyperlink r:id="rId21">
        <w:r>
          <w:rPr>
            <w:rStyle w:val="Hyperlink"/>
          </w:rPr>
          <w:t>metric conversion</w:t>
        </w:r>
      </w:hyperlink>
      <w:r>
        <w:t xml:space="preserve"> to correct somewhat for this effect and produce a distribution that is closer to normal, also reducing the boundary effect at the scale maximum of 35.</w:t>
      </w:r>
    </w:p>
    <w:p w14:paraId="333F8AF2" w14:textId="77777777" w:rsidR="008905CC" w:rsidRDefault="007C3620">
      <w:pPr>
        <w:pStyle w:val="Heading2"/>
      </w:pPr>
      <w:bookmarkStart w:id="10" w:name="presentation-of-data-on-sex"/>
      <w:bookmarkEnd w:id="9"/>
      <w:r>
        <w:t>1.8 Presentation of Data on Sex</w:t>
      </w:r>
    </w:p>
    <w:p w14:paraId="27C246E0" w14:textId="77777777" w:rsidR="008905CC" w:rsidRDefault="007C3620">
      <w:pPr>
        <w:pStyle w:val="FirstParagraph"/>
      </w:pPr>
      <w:r>
        <w:t xml:space="preserve">The Scottish Government </w:t>
      </w:r>
      <w:hyperlink r:id="rId22">
        <w:r>
          <w:rPr>
            <w:rStyle w:val="Hyperlink"/>
          </w:rPr>
          <w:t>guidance on sex, gender identity and trans status</w:t>
        </w:r>
      </w:hyperlink>
      <w:r>
        <w:t xml:space="preserve"> was updated in 2024. Questions about sex and trans history are now identical across the surveys forming part of the SSCQ.</w:t>
      </w:r>
    </w:p>
    <w:p w14:paraId="6325B47F" w14:textId="77777777" w:rsidR="008905CC" w:rsidRDefault="007C3620">
      <w:pPr>
        <w:pStyle w:val="BodyText"/>
      </w:pPr>
      <w:r>
        <w:t>Since 2022, respondents are asked about their sex and trans history and status separately. For sex, there are three response options: “Male”, “Female” and “Prefer not to say”. For trans history and status, there are two response options: “Yes” and “No”. Those who select “Yes” for the trans history and status question can record their trans status in a free text box.</w:t>
      </w:r>
    </w:p>
    <w:p w14:paraId="388A6406" w14:textId="77777777" w:rsidR="008905CC" w:rsidRDefault="007C3620">
      <w:pPr>
        <w:pStyle w:val="BodyText"/>
      </w:pPr>
      <w:r>
        <w:t xml:space="preserve">Due to the small number of respondents reporting a trans history and status, we are currently not publishing this data. For future publications, notably Multiyear SSCQ (such as this year), we have worked closely with Scotland’s Census 2022 Outputs team develop a framework for coding free text responses to the trans status question. This framework can be found </w:t>
      </w:r>
      <w:hyperlink r:id="rId23">
        <w:r>
          <w:rPr>
            <w:rStyle w:val="Hyperlink"/>
          </w:rPr>
          <w:t>here</w:t>
        </w:r>
      </w:hyperlink>
      <w:r>
        <w:t>.</w:t>
      </w:r>
    </w:p>
    <w:p w14:paraId="302C05A2" w14:textId="77777777" w:rsidR="008905CC" w:rsidRDefault="007C3620">
      <w:pPr>
        <w:pStyle w:val="Heading2"/>
      </w:pPr>
      <w:bookmarkStart w:id="11" w:name="presentation-of-data-on-veteran-status"/>
      <w:bookmarkEnd w:id="10"/>
      <w:r>
        <w:lastRenderedPageBreak/>
        <w:t>1.9 Presentation of Data on Veteran Status</w:t>
      </w:r>
    </w:p>
    <w:p w14:paraId="23E0EE52" w14:textId="77777777" w:rsidR="008905CC" w:rsidRDefault="007C3620">
      <w:pPr>
        <w:pStyle w:val="FirstParagraph"/>
      </w:pPr>
      <w:r>
        <w:t>This is the second time data on veteran status has been published as part of the SSCQ. Respondents were asked “Have you previously served in the UK Armed Forces?”, and the response options were presented as follows:</w:t>
      </w:r>
    </w:p>
    <w:p w14:paraId="07238ACC" w14:textId="77777777" w:rsidR="008905CC" w:rsidRDefault="007C3620">
      <w:pPr>
        <w:pStyle w:val="Compact"/>
        <w:numPr>
          <w:ilvl w:val="0"/>
          <w:numId w:val="4"/>
        </w:numPr>
      </w:pPr>
      <w:r>
        <w:t>No</w:t>
      </w:r>
    </w:p>
    <w:p w14:paraId="799060C3" w14:textId="77777777" w:rsidR="008905CC" w:rsidRDefault="007C3620">
      <w:pPr>
        <w:pStyle w:val="Compact"/>
        <w:numPr>
          <w:ilvl w:val="0"/>
          <w:numId w:val="4"/>
        </w:numPr>
      </w:pPr>
      <w:r>
        <w:t>Yes, previously served in regular Armed Forces</w:t>
      </w:r>
    </w:p>
    <w:p w14:paraId="32DD22EF" w14:textId="77777777" w:rsidR="008905CC" w:rsidRDefault="007C3620">
      <w:pPr>
        <w:pStyle w:val="Compact"/>
        <w:numPr>
          <w:ilvl w:val="0"/>
          <w:numId w:val="4"/>
        </w:numPr>
      </w:pPr>
      <w:r>
        <w:t>Yes, previously served in reserve Armed Forces</w:t>
      </w:r>
    </w:p>
    <w:p w14:paraId="6891FBAB" w14:textId="77777777" w:rsidR="008905CC" w:rsidRDefault="007C3620">
      <w:pPr>
        <w:pStyle w:val="FirstParagraph"/>
      </w:pPr>
      <w:r>
        <w:t>Current serving members were instructed to select the “No” option.</w:t>
      </w:r>
    </w:p>
    <w:p w14:paraId="4370CEF3" w14:textId="77777777" w:rsidR="008905CC" w:rsidRDefault="007C3620">
      <w:pPr>
        <w:pStyle w:val="BodyText"/>
      </w:pPr>
      <w:r>
        <w:t>As with other questions, respondents could choose to answer “don’t know” or refuse to answer. For the SSCQ, both “Yes” response options were combined into a single “Yes” category.</w:t>
      </w:r>
    </w:p>
    <w:p w14:paraId="59C01578" w14:textId="77777777" w:rsidR="008905CC" w:rsidRDefault="007C3620">
      <w:pPr>
        <w:pStyle w:val="BodyText"/>
      </w:pPr>
      <w:r>
        <w:t>As this question has only been included twice in the SSCQ, it is not possible to provide comparisons or trends over time.</w:t>
      </w:r>
    </w:p>
    <w:p w14:paraId="39048A97" w14:textId="77777777" w:rsidR="008905CC" w:rsidRDefault="007C3620">
      <w:pPr>
        <w:pStyle w:val="BodyText"/>
      </w:pPr>
      <w:r>
        <w:t>Given it is the second time the SSCQ is reporting on veteran status, we treat the data as “</w:t>
      </w:r>
      <w:hyperlink r:id="rId24" w:anchor=":~:text=Official%20statistics%20in%20development%20are,Code%20of%20Practice%20for%20Statistics.">
        <w:r>
          <w:rPr>
            <w:rStyle w:val="Hyperlink"/>
          </w:rPr>
          <w:t>Official Statistics in Development</w:t>
        </w:r>
      </w:hyperlink>
      <w:r>
        <w:t>” and welcome user feedback on how to improve the reporting of this information.</w:t>
      </w:r>
    </w:p>
    <w:p w14:paraId="7E458F34" w14:textId="77777777" w:rsidR="008905CC" w:rsidRDefault="007C3620">
      <w:pPr>
        <w:pStyle w:val="Heading2"/>
      </w:pPr>
      <w:bookmarkStart w:id="12" w:name="presentation-of-data-on-religion"/>
      <w:bookmarkEnd w:id="11"/>
      <w:r>
        <w:t>1.10 Presentation of Data on Religion</w:t>
      </w:r>
    </w:p>
    <w:p w14:paraId="4D93C19D" w14:textId="77777777" w:rsidR="008905CC" w:rsidRDefault="007C3620">
      <w:pPr>
        <w:pStyle w:val="Heading3"/>
      </w:pPr>
      <w:bookmarkStart w:id="13" w:name="X714775a40c5611029aa0685189c573a0f5cd9ff"/>
      <w:r>
        <w:t>Table 2: Grouping of religion in the SSCQ 2023</w:t>
      </w:r>
    </w:p>
    <w:p w14:paraId="38778A77" w14:textId="77777777" w:rsidR="008905CC" w:rsidRDefault="007C3620">
      <w:pPr>
        <w:pStyle w:val="FirstParagraph"/>
      </w:pPr>
      <w:r>
        <w:t xml:space="preserve">Due to rounding, summing figures in this table may not exactly match the presented totals. Figures have been rounded to be more in line with those presented in the Supplementary Tables in the </w:t>
      </w:r>
      <w:hyperlink r:id="rId25">
        <w:r>
          <w:rPr>
            <w:rStyle w:val="Hyperlink"/>
          </w:rPr>
          <w:t>Supporting Documents</w:t>
        </w:r>
      </w:hyperlink>
      <w:r>
        <w:t xml:space="preserve"> section on the website.</w:t>
      </w:r>
    </w:p>
    <w:p w14:paraId="5D07B652" w14:textId="77777777" w:rsidR="008905CC" w:rsidRDefault="007C3620">
      <w:pPr>
        <w:pStyle w:val="TableCaption"/>
      </w:pPr>
      <w:r>
        <w:t>Religion</w:t>
      </w:r>
    </w:p>
    <w:tbl>
      <w:tblPr>
        <w:tblStyle w:val="Table"/>
        <w:tblW w:w="0" w:type="auto"/>
        <w:tblLook w:val="0020" w:firstRow="1" w:lastRow="0" w:firstColumn="0" w:lastColumn="0" w:noHBand="0" w:noVBand="0"/>
      </w:tblPr>
      <w:tblGrid>
        <w:gridCol w:w="3032"/>
        <w:gridCol w:w="1008"/>
      </w:tblGrid>
      <w:tr w:rsidR="008905CC" w14:paraId="53148890"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0BEA3F62" w14:textId="77777777" w:rsidR="008905CC" w:rsidRDefault="007C3620">
            <w:pPr>
              <w:pStyle w:val="Compact"/>
            </w:pPr>
            <w:r>
              <w:t>Base Collection Categories</w:t>
            </w:r>
          </w:p>
        </w:tc>
        <w:tc>
          <w:tcPr>
            <w:tcW w:w="0" w:type="auto"/>
          </w:tcPr>
          <w:p w14:paraId="348E530A" w14:textId="77777777" w:rsidR="008905CC" w:rsidRDefault="007C3620">
            <w:pPr>
              <w:pStyle w:val="Compact"/>
              <w:jc w:val="right"/>
            </w:pPr>
            <w:r>
              <w:t>Sample</w:t>
            </w:r>
          </w:p>
        </w:tc>
      </w:tr>
      <w:tr w:rsidR="008905CC" w14:paraId="6DDF1BDC" w14:textId="77777777">
        <w:tc>
          <w:tcPr>
            <w:tcW w:w="0" w:type="auto"/>
          </w:tcPr>
          <w:p w14:paraId="55C7E5A9" w14:textId="77777777" w:rsidR="008905CC" w:rsidRDefault="007C3620">
            <w:pPr>
              <w:pStyle w:val="Compact"/>
            </w:pPr>
            <w:r>
              <w:t>None</w:t>
            </w:r>
          </w:p>
        </w:tc>
        <w:tc>
          <w:tcPr>
            <w:tcW w:w="0" w:type="auto"/>
          </w:tcPr>
          <w:p w14:paraId="70C26D11" w14:textId="77777777" w:rsidR="008905CC" w:rsidRDefault="007C3620">
            <w:pPr>
              <w:pStyle w:val="Compact"/>
              <w:jc w:val="right"/>
            </w:pPr>
            <w:r>
              <w:t>10878</w:t>
            </w:r>
          </w:p>
        </w:tc>
      </w:tr>
      <w:tr w:rsidR="008905CC" w14:paraId="08D6D49E" w14:textId="77777777">
        <w:tc>
          <w:tcPr>
            <w:tcW w:w="0" w:type="auto"/>
          </w:tcPr>
          <w:p w14:paraId="233CBC56" w14:textId="77777777" w:rsidR="008905CC" w:rsidRDefault="007C3620">
            <w:pPr>
              <w:pStyle w:val="Compact"/>
            </w:pPr>
            <w:r>
              <w:t>Church of Scotland</w:t>
            </w:r>
          </w:p>
        </w:tc>
        <w:tc>
          <w:tcPr>
            <w:tcW w:w="0" w:type="auto"/>
          </w:tcPr>
          <w:p w14:paraId="6C11FAFE" w14:textId="77777777" w:rsidR="008905CC" w:rsidRDefault="007C3620">
            <w:pPr>
              <w:pStyle w:val="Compact"/>
              <w:jc w:val="right"/>
            </w:pPr>
            <w:r>
              <w:t>4489</w:t>
            </w:r>
          </w:p>
        </w:tc>
      </w:tr>
      <w:tr w:rsidR="008905CC" w14:paraId="4043D641" w14:textId="77777777">
        <w:tc>
          <w:tcPr>
            <w:tcW w:w="0" w:type="auto"/>
          </w:tcPr>
          <w:p w14:paraId="34A76C11" w14:textId="77777777" w:rsidR="008905CC" w:rsidRDefault="007C3620">
            <w:pPr>
              <w:pStyle w:val="Compact"/>
            </w:pPr>
            <w:r>
              <w:t>Roman Catholic</w:t>
            </w:r>
          </w:p>
        </w:tc>
        <w:tc>
          <w:tcPr>
            <w:tcW w:w="0" w:type="auto"/>
          </w:tcPr>
          <w:p w14:paraId="15E9AAA2" w14:textId="77777777" w:rsidR="008905CC" w:rsidRDefault="007C3620">
            <w:pPr>
              <w:pStyle w:val="Compact"/>
              <w:jc w:val="right"/>
            </w:pPr>
            <w:r>
              <w:t>2240</w:t>
            </w:r>
          </w:p>
        </w:tc>
      </w:tr>
      <w:tr w:rsidR="008905CC" w14:paraId="2101EF66" w14:textId="77777777">
        <w:tc>
          <w:tcPr>
            <w:tcW w:w="0" w:type="auto"/>
          </w:tcPr>
          <w:p w14:paraId="057F4772" w14:textId="77777777" w:rsidR="008905CC" w:rsidRDefault="007C3620">
            <w:pPr>
              <w:pStyle w:val="Compact"/>
            </w:pPr>
            <w:r>
              <w:t>Other Christian</w:t>
            </w:r>
          </w:p>
        </w:tc>
        <w:tc>
          <w:tcPr>
            <w:tcW w:w="0" w:type="auto"/>
          </w:tcPr>
          <w:p w14:paraId="7EE48CFE" w14:textId="77777777" w:rsidR="008905CC" w:rsidRDefault="007C3620">
            <w:pPr>
              <w:pStyle w:val="Compact"/>
              <w:jc w:val="right"/>
            </w:pPr>
            <w:r>
              <w:t>1392</w:t>
            </w:r>
          </w:p>
        </w:tc>
      </w:tr>
      <w:tr w:rsidR="008905CC" w14:paraId="79B135AB" w14:textId="77777777">
        <w:tc>
          <w:tcPr>
            <w:tcW w:w="0" w:type="auto"/>
          </w:tcPr>
          <w:p w14:paraId="6249F119" w14:textId="77777777" w:rsidR="008905CC" w:rsidRDefault="007C3620">
            <w:pPr>
              <w:pStyle w:val="Compact"/>
            </w:pPr>
            <w:r>
              <w:t>Muslim</w:t>
            </w:r>
          </w:p>
        </w:tc>
        <w:tc>
          <w:tcPr>
            <w:tcW w:w="0" w:type="auto"/>
          </w:tcPr>
          <w:p w14:paraId="49B32C24" w14:textId="77777777" w:rsidR="008905CC" w:rsidRDefault="007C3620">
            <w:pPr>
              <w:pStyle w:val="Compact"/>
              <w:jc w:val="right"/>
            </w:pPr>
            <w:r>
              <w:t>249</w:t>
            </w:r>
          </w:p>
        </w:tc>
      </w:tr>
      <w:tr w:rsidR="008905CC" w14:paraId="597E0BFF" w14:textId="77777777">
        <w:tc>
          <w:tcPr>
            <w:tcW w:w="0" w:type="auto"/>
          </w:tcPr>
          <w:p w14:paraId="1E64E419" w14:textId="77777777" w:rsidR="008905CC" w:rsidRDefault="007C3620">
            <w:pPr>
              <w:pStyle w:val="Compact"/>
            </w:pPr>
            <w:r>
              <w:t>Buddhist</w:t>
            </w:r>
          </w:p>
        </w:tc>
        <w:tc>
          <w:tcPr>
            <w:tcW w:w="0" w:type="auto"/>
          </w:tcPr>
          <w:p w14:paraId="1F8F5A0B" w14:textId="77777777" w:rsidR="008905CC" w:rsidRDefault="007C3620">
            <w:pPr>
              <w:pStyle w:val="Compact"/>
              <w:jc w:val="right"/>
            </w:pPr>
            <w:r>
              <w:t>70</w:t>
            </w:r>
          </w:p>
        </w:tc>
      </w:tr>
      <w:tr w:rsidR="008905CC" w14:paraId="466B2E62" w14:textId="77777777">
        <w:tc>
          <w:tcPr>
            <w:tcW w:w="0" w:type="auto"/>
          </w:tcPr>
          <w:p w14:paraId="539F11B9" w14:textId="77777777" w:rsidR="008905CC" w:rsidRDefault="007C3620">
            <w:pPr>
              <w:pStyle w:val="Compact"/>
            </w:pPr>
            <w:r>
              <w:t>Sikh</w:t>
            </w:r>
          </w:p>
        </w:tc>
        <w:tc>
          <w:tcPr>
            <w:tcW w:w="0" w:type="auto"/>
          </w:tcPr>
          <w:p w14:paraId="1877C91D" w14:textId="77777777" w:rsidR="008905CC" w:rsidRDefault="007C3620">
            <w:pPr>
              <w:pStyle w:val="Compact"/>
              <w:jc w:val="right"/>
            </w:pPr>
            <w:r>
              <w:t>24</w:t>
            </w:r>
          </w:p>
        </w:tc>
      </w:tr>
      <w:tr w:rsidR="008905CC" w14:paraId="11E2B825" w14:textId="77777777">
        <w:tc>
          <w:tcPr>
            <w:tcW w:w="0" w:type="auto"/>
          </w:tcPr>
          <w:p w14:paraId="18DF3F12" w14:textId="77777777" w:rsidR="008905CC" w:rsidRDefault="007C3620">
            <w:pPr>
              <w:pStyle w:val="Compact"/>
            </w:pPr>
            <w:r>
              <w:t>Jewish</w:t>
            </w:r>
          </w:p>
        </w:tc>
        <w:tc>
          <w:tcPr>
            <w:tcW w:w="0" w:type="auto"/>
          </w:tcPr>
          <w:p w14:paraId="4783445E" w14:textId="77777777" w:rsidR="008905CC" w:rsidRDefault="007C3620">
            <w:pPr>
              <w:pStyle w:val="Compact"/>
              <w:jc w:val="right"/>
            </w:pPr>
            <w:r>
              <w:t>17</w:t>
            </w:r>
          </w:p>
        </w:tc>
      </w:tr>
      <w:tr w:rsidR="008905CC" w14:paraId="3C6F5E16" w14:textId="77777777">
        <w:tc>
          <w:tcPr>
            <w:tcW w:w="0" w:type="auto"/>
          </w:tcPr>
          <w:p w14:paraId="41BF2FCB" w14:textId="77777777" w:rsidR="008905CC" w:rsidRDefault="007C3620">
            <w:pPr>
              <w:pStyle w:val="Compact"/>
            </w:pPr>
            <w:r>
              <w:t>Hindu</w:t>
            </w:r>
          </w:p>
        </w:tc>
        <w:tc>
          <w:tcPr>
            <w:tcW w:w="0" w:type="auto"/>
          </w:tcPr>
          <w:p w14:paraId="5E995C1B" w14:textId="77777777" w:rsidR="008905CC" w:rsidRDefault="007C3620">
            <w:pPr>
              <w:pStyle w:val="Compact"/>
              <w:jc w:val="right"/>
            </w:pPr>
            <w:r>
              <w:t>119</w:t>
            </w:r>
          </w:p>
        </w:tc>
      </w:tr>
      <w:tr w:rsidR="008905CC" w14:paraId="33718581" w14:textId="77777777">
        <w:tc>
          <w:tcPr>
            <w:tcW w:w="0" w:type="auto"/>
          </w:tcPr>
          <w:p w14:paraId="17794983" w14:textId="77777777" w:rsidR="008905CC" w:rsidRDefault="007C3620">
            <w:pPr>
              <w:pStyle w:val="Compact"/>
            </w:pPr>
            <w:r>
              <w:t>Pagan</w:t>
            </w:r>
          </w:p>
        </w:tc>
        <w:tc>
          <w:tcPr>
            <w:tcW w:w="0" w:type="auto"/>
          </w:tcPr>
          <w:p w14:paraId="2305E010" w14:textId="77777777" w:rsidR="008905CC" w:rsidRDefault="007C3620">
            <w:pPr>
              <w:pStyle w:val="Compact"/>
              <w:jc w:val="right"/>
            </w:pPr>
            <w:r>
              <w:t>42</w:t>
            </w:r>
          </w:p>
        </w:tc>
      </w:tr>
      <w:tr w:rsidR="008905CC" w14:paraId="07BB7B1A" w14:textId="77777777">
        <w:tc>
          <w:tcPr>
            <w:tcW w:w="0" w:type="auto"/>
          </w:tcPr>
          <w:p w14:paraId="251B687A" w14:textId="77777777" w:rsidR="008905CC" w:rsidRDefault="007C3620">
            <w:pPr>
              <w:pStyle w:val="Compact"/>
            </w:pPr>
            <w:r>
              <w:lastRenderedPageBreak/>
              <w:t>Another religion</w:t>
            </w:r>
          </w:p>
        </w:tc>
        <w:tc>
          <w:tcPr>
            <w:tcW w:w="0" w:type="auto"/>
          </w:tcPr>
          <w:p w14:paraId="2783D628" w14:textId="77777777" w:rsidR="008905CC" w:rsidRDefault="007C3620">
            <w:pPr>
              <w:pStyle w:val="Compact"/>
              <w:jc w:val="right"/>
            </w:pPr>
            <w:r>
              <w:t>95</w:t>
            </w:r>
          </w:p>
        </w:tc>
      </w:tr>
    </w:tbl>
    <w:p w14:paraId="3E6E3B42" w14:textId="77777777" w:rsidR="008905CC" w:rsidRDefault="007C3620">
      <w:pPr>
        <w:pStyle w:val="BodyText"/>
      </w:pPr>
      <w:r>
        <w:t xml:space="preserve"> </w:t>
      </w:r>
    </w:p>
    <w:tbl>
      <w:tblPr>
        <w:tblStyle w:val="Table"/>
        <w:tblW w:w="0" w:type="auto"/>
        <w:tblLook w:val="0020" w:firstRow="1" w:lastRow="0" w:firstColumn="0" w:lastColumn="0" w:noHBand="0" w:noVBand="0"/>
      </w:tblPr>
      <w:tblGrid>
        <w:gridCol w:w="2218"/>
        <w:gridCol w:w="1008"/>
      </w:tblGrid>
      <w:tr w:rsidR="008905CC" w14:paraId="60A810F1"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25E43044" w14:textId="77777777" w:rsidR="008905CC" w:rsidRDefault="007C3620">
            <w:pPr>
              <w:pStyle w:val="Compact"/>
            </w:pPr>
            <w:r>
              <w:t>SSCQ Groups</w:t>
            </w:r>
          </w:p>
        </w:tc>
        <w:tc>
          <w:tcPr>
            <w:tcW w:w="0" w:type="auto"/>
          </w:tcPr>
          <w:p w14:paraId="3E1C59A6" w14:textId="77777777" w:rsidR="008905CC" w:rsidRDefault="007C3620">
            <w:pPr>
              <w:pStyle w:val="Compact"/>
              <w:jc w:val="right"/>
            </w:pPr>
            <w:r>
              <w:t>Sample</w:t>
            </w:r>
          </w:p>
        </w:tc>
      </w:tr>
      <w:tr w:rsidR="008905CC" w14:paraId="0BF0F431" w14:textId="77777777">
        <w:tc>
          <w:tcPr>
            <w:tcW w:w="0" w:type="auto"/>
          </w:tcPr>
          <w:p w14:paraId="2A9ECD03" w14:textId="77777777" w:rsidR="008905CC" w:rsidRDefault="007C3620">
            <w:pPr>
              <w:pStyle w:val="Compact"/>
            </w:pPr>
            <w:r>
              <w:t>None</w:t>
            </w:r>
          </w:p>
        </w:tc>
        <w:tc>
          <w:tcPr>
            <w:tcW w:w="0" w:type="auto"/>
          </w:tcPr>
          <w:p w14:paraId="292BAF4D" w14:textId="77777777" w:rsidR="008905CC" w:rsidRDefault="007C3620">
            <w:pPr>
              <w:pStyle w:val="Compact"/>
              <w:jc w:val="right"/>
            </w:pPr>
            <w:r>
              <w:t>10878</w:t>
            </w:r>
          </w:p>
        </w:tc>
      </w:tr>
      <w:tr w:rsidR="008905CC" w14:paraId="0CB59692" w14:textId="77777777">
        <w:tc>
          <w:tcPr>
            <w:tcW w:w="0" w:type="auto"/>
          </w:tcPr>
          <w:p w14:paraId="35D4BFC3" w14:textId="77777777" w:rsidR="008905CC" w:rsidRDefault="007C3620">
            <w:pPr>
              <w:pStyle w:val="Compact"/>
            </w:pPr>
            <w:r>
              <w:t>Church of Scotland</w:t>
            </w:r>
          </w:p>
        </w:tc>
        <w:tc>
          <w:tcPr>
            <w:tcW w:w="0" w:type="auto"/>
          </w:tcPr>
          <w:p w14:paraId="3DCD6C03" w14:textId="77777777" w:rsidR="008905CC" w:rsidRDefault="007C3620">
            <w:pPr>
              <w:pStyle w:val="Compact"/>
              <w:jc w:val="right"/>
            </w:pPr>
            <w:r>
              <w:t>4489</w:t>
            </w:r>
          </w:p>
        </w:tc>
      </w:tr>
      <w:tr w:rsidR="008905CC" w14:paraId="451DDD27" w14:textId="77777777">
        <w:tc>
          <w:tcPr>
            <w:tcW w:w="0" w:type="auto"/>
          </w:tcPr>
          <w:p w14:paraId="2D5E0C99" w14:textId="77777777" w:rsidR="008905CC" w:rsidRDefault="007C3620">
            <w:pPr>
              <w:pStyle w:val="Compact"/>
            </w:pPr>
            <w:r>
              <w:t>Roman Catholic</w:t>
            </w:r>
          </w:p>
        </w:tc>
        <w:tc>
          <w:tcPr>
            <w:tcW w:w="0" w:type="auto"/>
          </w:tcPr>
          <w:p w14:paraId="0C160DD8" w14:textId="77777777" w:rsidR="008905CC" w:rsidRDefault="007C3620">
            <w:pPr>
              <w:pStyle w:val="Compact"/>
              <w:jc w:val="right"/>
            </w:pPr>
            <w:r>
              <w:t>2240</w:t>
            </w:r>
          </w:p>
        </w:tc>
      </w:tr>
      <w:tr w:rsidR="008905CC" w14:paraId="3535639A" w14:textId="77777777">
        <w:tc>
          <w:tcPr>
            <w:tcW w:w="0" w:type="auto"/>
          </w:tcPr>
          <w:p w14:paraId="25B9F829" w14:textId="77777777" w:rsidR="008905CC" w:rsidRDefault="007C3620">
            <w:pPr>
              <w:pStyle w:val="Compact"/>
            </w:pPr>
            <w:r>
              <w:t>Other Christian</w:t>
            </w:r>
          </w:p>
        </w:tc>
        <w:tc>
          <w:tcPr>
            <w:tcW w:w="0" w:type="auto"/>
          </w:tcPr>
          <w:p w14:paraId="6A72124F" w14:textId="77777777" w:rsidR="008905CC" w:rsidRDefault="007C3620">
            <w:pPr>
              <w:pStyle w:val="Compact"/>
              <w:jc w:val="right"/>
            </w:pPr>
            <w:r>
              <w:t>1392</w:t>
            </w:r>
          </w:p>
        </w:tc>
      </w:tr>
      <w:tr w:rsidR="008905CC" w14:paraId="3D0CDF69" w14:textId="77777777">
        <w:tc>
          <w:tcPr>
            <w:tcW w:w="0" w:type="auto"/>
          </w:tcPr>
          <w:p w14:paraId="5C3ACAEF" w14:textId="77777777" w:rsidR="008905CC" w:rsidRDefault="007C3620">
            <w:pPr>
              <w:pStyle w:val="Compact"/>
            </w:pPr>
            <w:r>
              <w:t>Muslim</w:t>
            </w:r>
          </w:p>
        </w:tc>
        <w:tc>
          <w:tcPr>
            <w:tcW w:w="0" w:type="auto"/>
          </w:tcPr>
          <w:p w14:paraId="5688114F" w14:textId="77777777" w:rsidR="008905CC" w:rsidRDefault="007C3620">
            <w:pPr>
              <w:pStyle w:val="Compact"/>
              <w:jc w:val="right"/>
            </w:pPr>
            <w:r>
              <w:t>249</w:t>
            </w:r>
          </w:p>
        </w:tc>
      </w:tr>
      <w:tr w:rsidR="008905CC" w14:paraId="77B3345D" w14:textId="77777777">
        <w:tc>
          <w:tcPr>
            <w:tcW w:w="0" w:type="auto"/>
          </w:tcPr>
          <w:p w14:paraId="31E3A593" w14:textId="77777777" w:rsidR="008905CC" w:rsidRDefault="007C3620">
            <w:pPr>
              <w:pStyle w:val="Compact"/>
            </w:pPr>
            <w:r>
              <w:t>Other</w:t>
            </w:r>
          </w:p>
        </w:tc>
        <w:tc>
          <w:tcPr>
            <w:tcW w:w="0" w:type="auto"/>
          </w:tcPr>
          <w:p w14:paraId="0553B77F" w14:textId="77777777" w:rsidR="008905CC" w:rsidRDefault="007C3620">
            <w:pPr>
              <w:pStyle w:val="Compact"/>
              <w:jc w:val="right"/>
            </w:pPr>
            <w:r>
              <w:t>367</w:t>
            </w:r>
          </w:p>
        </w:tc>
      </w:tr>
    </w:tbl>
    <w:p w14:paraId="30ECBA97" w14:textId="77777777" w:rsidR="008905CC" w:rsidRDefault="007C3620">
      <w:pPr>
        <w:pStyle w:val="Heading2"/>
      </w:pPr>
      <w:bookmarkStart w:id="14" w:name="presentation-of-data-on-ethnic-groups"/>
      <w:bookmarkEnd w:id="13"/>
      <w:bookmarkEnd w:id="12"/>
      <w:r>
        <w:t>1.11 Presentation of Data on Ethnic Groups</w:t>
      </w:r>
    </w:p>
    <w:p w14:paraId="04BEEE6D" w14:textId="77777777" w:rsidR="008905CC" w:rsidRDefault="007C3620">
      <w:pPr>
        <w:pStyle w:val="Heading3"/>
      </w:pPr>
      <w:bookmarkStart w:id="15" w:name="Xebc17ef0fb9f12a3f0c233a054b0910bc6377a8"/>
      <w:r>
        <w:t>Table 3: Grouping of ethnic groups in the SSCQ 2023</w:t>
      </w:r>
    </w:p>
    <w:p w14:paraId="2BCD8E96" w14:textId="77777777" w:rsidR="008905CC" w:rsidRDefault="007C3620">
      <w:pPr>
        <w:pStyle w:val="FirstParagraph"/>
      </w:pPr>
      <w:r>
        <w:t xml:space="preserve">Due to rounding, summing figures in this table may not exactly match the presented totals. Figures have been rounded to be more in line with those presented in the Supplementary Tables in the </w:t>
      </w:r>
      <w:hyperlink r:id="rId26">
        <w:r>
          <w:rPr>
            <w:rStyle w:val="Hyperlink"/>
          </w:rPr>
          <w:t>Supporting Documents</w:t>
        </w:r>
      </w:hyperlink>
      <w:r>
        <w:t xml:space="preserve"> section on the website.</w:t>
      </w:r>
    </w:p>
    <w:p w14:paraId="07E3D2CF" w14:textId="77777777" w:rsidR="008905CC" w:rsidRDefault="007C3620">
      <w:pPr>
        <w:pStyle w:val="TableCaption"/>
      </w:pPr>
      <w:r>
        <w:t>Ethnic Groups</w:t>
      </w:r>
    </w:p>
    <w:tbl>
      <w:tblPr>
        <w:tblStyle w:val="Table"/>
        <w:tblW w:w="5000" w:type="pct"/>
        <w:tblLayout w:type="fixed"/>
        <w:tblLook w:val="0020" w:firstRow="1" w:lastRow="0" w:firstColumn="0" w:lastColumn="0" w:noHBand="0" w:noVBand="0"/>
      </w:tblPr>
      <w:tblGrid>
        <w:gridCol w:w="8962"/>
        <w:gridCol w:w="614"/>
      </w:tblGrid>
      <w:tr w:rsidR="008905CC" w14:paraId="2127D798"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411" w:type="dxa"/>
          </w:tcPr>
          <w:p w14:paraId="4A1AF929" w14:textId="77777777" w:rsidR="008905CC" w:rsidRDefault="007C3620">
            <w:pPr>
              <w:pStyle w:val="Compact"/>
            </w:pPr>
            <w:r>
              <w:t>Base Collection Categories</w:t>
            </w:r>
          </w:p>
        </w:tc>
        <w:tc>
          <w:tcPr>
            <w:tcW w:w="508" w:type="dxa"/>
          </w:tcPr>
          <w:p w14:paraId="07D568F3" w14:textId="77777777" w:rsidR="008905CC" w:rsidRDefault="007C3620">
            <w:pPr>
              <w:pStyle w:val="Compact"/>
            </w:pPr>
            <w:r>
              <w:t>Sample</w:t>
            </w:r>
          </w:p>
        </w:tc>
      </w:tr>
      <w:tr w:rsidR="008905CC" w14:paraId="222F4A0D" w14:textId="77777777">
        <w:tc>
          <w:tcPr>
            <w:tcW w:w="7411" w:type="dxa"/>
          </w:tcPr>
          <w:p w14:paraId="1086A73B" w14:textId="77777777" w:rsidR="008905CC" w:rsidRDefault="007C3620">
            <w:pPr>
              <w:pStyle w:val="Compact"/>
            </w:pPr>
            <w:r>
              <w:t>A - WHITE - White Scottish</w:t>
            </w:r>
          </w:p>
        </w:tc>
        <w:tc>
          <w:tcPr>
            <w:tcW w:w="508" w:type="dxa"/>
          </w:tcPr>
          <w:p w14:paraId="18CA4114" w14:textId="77777777" w:rsidR="008905CC" w:rsidRDefault="007C3620">
            <w:pPr>
              <w:pStyle w:val="Compact"/>
            </w:pPr>
            <w:r>
              <w:t>14742</w:t>
            </w:r>
          </w:p>
        </w:tc>
      </w:tr>
      <w:tr w:rsidR="008905CC" w14:paraId="1E586AE7" w14:textId="77777777">
        <w:tc>
          <w:tcPr>
            <w:tcW w:w="7411" w:type="dxa"/>
          </w:tcPr>
          <w:p w14:paraId="0B388787" w14:textId="77777777" w:rsidR="008905CC" w:rsidRDefault="007C3620">
            <w:pPr>
              <w:pStyle w:val="Compact"/>
            </w:pPr>
            <w:r>
              <w:t>A - WHITE - Other British</w:t>
            </w:r>
          </w:p>
        </w:tc>
        <w:tc>
          <w:tcPr>
            <w:tcW w:w="508" w:type="dxa"/>
          </w:tcPr>
          <w:p w14:paraId="12B3FF5E" w14:textId="77777777" w:rsidR="008905CC" w:rsidRDefault="007C3620">
            <w:pPr>
              <w:pStyle w:val="Compact"/>
            </w:pPr>
            <w:r>
              <w:t>2830</w:t>
            </w:r>
          </w:p>
        </w:tc>
      </w:tr>
      <w:tr w:rsidR="008905CC" w14:paraId="3EC92610" w14:textId="77777777">
        <w:tc>
          <w:tcPr>
            <w:tcW w:w="7411" w:type="dxa"/>
          </w:tcPr>
          <w:p w14:paraId="4109EAC6" w14:textId="77777777" w:rsidR="008905CC" w:rsidRDefault="007C3620">
            <w:pPr>
              <w:pStyle w:val="Compact"/>
            </w:pPr>
            <w:r>
              <w:t>A - WHITE - Irish</w:t>
            </w:r>
          </w:p>
        </w:tc>
        <w:tc>
          <w:tcPr>
            <w:tcW w:w="508" w:type="dxa"/>
          </w:tcPr>
          <w:p w14:paraId="34807304" w14:textId="77777777" w:rsidR="008905CC" w:rsidRDefault="007C3620">
            <w:pPr>
              <w:pStyle w:val="Compact"/>
            </w:pPr>
            <w:r>
              <w:t>183</w:t>
            </w:r>
          </w:p>
        </w:tc>
      </w:tr>
      <w:tr w:rsidR="008905CC" w14:paraId="5AFA6051" w14:textId="77777777">
        <w:tc>
          <w:tcPr>
            <w:tcW w:w="7411" w:type="dxa"/>
          </w:tcPr>
          <w:p w14:paraId="45C603D6" w14:textId="77777777" w:rsidR="008905CC" w:rsidRDefault="007C3620">
            <w:pPr>
              <w:pStyle w:val="Compact"/>
            </w:pPr>
            <w:r>
              <w:t>A - WHITE - Gypsy/Traveller</w:t>
            </w:r>
          </w:p>
        </w:tc>
        <w:tc>
          <w:tcPr>
            <w:tcW w:w="508" w:type="dxa"/>
          </w:tcPr>
          <w:p w14:paraId="588E0248" w14:textId="77777777" w:rsidR="008905CC" w:rsidRDefault="007C3620">
            <w:pPr>
              <w:pStyle w:val="Compact"/>
            </w:pPr>
            <w:r>
              <w:t>60</w:t>
            </w:r>
          </w:p>
        </w:tc>
      </w:tr>
      <w:tr w:rsidR="008905CC" w14:paraId="09EAFFDF" w14:textId="77777777">
        <w:tc>
          <w:tcPr>
            <w:tcW w:w="7411" w:type="dxa"/>
          </w:tcPr>
          <w:p w14:paraId="524DED4C" w14:textId="77777777" w:rsidR="008905CC" w:rsidRDefault="007C3620">
            <w:pPr>
              <w:pStyle w:val="Compact"/>
            </w:pPr>
            <w:r>
              <w:t>A - WHITE - Polish</w:t>
            </w:r>
          </w:p>
        </w:tc>
        <w:tc>
          <w:tcPr>
            <w:tcW w:w="508" w:type="dxa"/>
          </w:tcPr>
          <w:p w14:paraId="12956FB4" w14:textId="77777777" w:rsidR="008905CC" w:rsidRDefault="007C3620">
            <w:pPr>
              <w:pStyle w:val="Compact"/>
            </w:pPr>
            <w:r>
              <w:t>161</w:t>
            </w:r>
          </w:p>
        </w:tc>
      </w:tr>
      <w:tr w:rsidR="008905CC" w14:paraId="6BA3AAEF" w14:textId="77777777">
        <w:tc>
          <w:tcPr>
            <w:tcW w:w="7411" w:type="dxa"/>
          </w:tcPr>
          <w:p w14:paraId="1766B953" w14:textId="77777777" w:rsidR="008905CC" w:rsidRDefault="007C3620">
            <w:pPr>
              <w:pStyle w:val="Compact"/>
            </w:pPr>
            <w:r>
              <w:t>A - WHITE - Roma</w:t>
            </w:r>
          </w:p>
        </w:tc>
        <w:tc>
          <w:tcPr>
            <w:tcW w:w="508" w:type="dxa"/>
          </w:tcPr>
          <w:p w14:paraId="5AE0582D" w14:textId="77777777" w:rsidR="008905CC" w:rsidRDefault="007C3620">
            <w:pPr>
              <w:pStyle w:val="Compact"/>
            </w:pPr>
            <w:r>
              <w:t>375</w:t>
            </w:r>
          </w:p>
        </w:tc>
      </w:tr>
      <w:tr w:rsidR="008905CC" w14:paraId="6A0344CB" w14:textId="77777777">
        <w:tc>
          <w:tcPr>
            <w:tcW w:w="7411" w:type="dxa"/>
          </w:tcPr>
          <w:p w14:paraId="00E184F2" w14:textId="77777777" w:rsidR="008905CC" w:rsidRDefault="007C3620">
            <w:pPr>
              <w:pStyle w:val="Compact"/>
            </w:pPr>
            <w:r>
              <w:t>A - WHITE - Any other white ethnic group</w:t>
            </w:r>
          </w:p>
        </w:tc>
        <w:tc>
          <w:tcPr>
            <w:tcW w:w="508" w:type="dxa"/>
          </w:tcPr>
          <w:p w14:paraId="66B5DD9A" w14:textId="77777777" w:rsidR="008905CC" w:rsidRDefault="007C3620">
            <w:pPr>
              <w:pStyle w:val="Compact"/>
            </w:pPr>
            <w:r>
              <w:t>25</w:t>
            </w:r>
          </w:p>
        </w:tc>
      </w:tr>
      <w:tr w:rsidR="008905CC" w14:paraId="4F8934B7" w14:textId="77777777">
        <w:tc>
          <w:tcPr>
            <w:tcW w:w="7411" w:type="dxa"/>
          </w:tcPr>
          <w:p w14:paraId="1A7321F9" w14:textId="77777777" w:rsidR="008905CC" w:rsidRDefault="007C3620">
            <w:pPr>
              <w:pStyle w:val="Compact"/>
            </w:pPr>
            <w:r>
              <w:t>B - MIXED OR MULTIPLE ETHNIC GROUP - Any mixed or multiple ethnic groups</w:t>
            </w:r>
          </w:p>
        </w:tc>
        <w:tc>
          <w:tcPr>
            <w:tcW w:w="508" w:type="dxa"/>
          </w:tcPr>
          <w:p w14:paraId="4DEB1B75" w14:textId="77777777" w:rsidR="008905CC" w:rsidRDefault="007C3620">
            <w:pPr>
              <w:pStyle w:val="Compact"/>
            </w:pPr>
            <w:r>
              <w:t>247</w:t>
            </w:r>
          </w:p>
        </w:tc>
      </w:tr>
      <w:tr w:rsidR="008905CC" w14:paraId="725A0B71" w14:textId="77777777">
        <w:tc>
          <w:tcPr>
            <w:tcW w:w="7411" w:type="dxa"/>
          </w:tcPr>
          <w:p w14:paraId="5DB828D2" w14:textId="77777777" w:rsidR="008905CC" w:rsidRDefault="007C3620">
            <w:pPr>
              <w:pStyle w:val="Compact"/>
            </w:pPr>
            <w:r>
              <w:t>C - ASIAN, ASIAN SCOTTISH OR ASIAN BRITISH - Pakistani, Pakistani Scottish or Pakistani British</w:t>
            </w:r>
          </w:p>
        </w:tc>
        <w:tc>
          <w:tcPr>
            <w:tcW w:w="508" w:type="dxa"/>
          </w:tcPr>
          <w:p w14:paraId="7D02E00B" w14:textId="77777777" w:rsidR="008905CC" w:rsidRDefault="007C3620">
            <w:pPr>
              <w:pStyle w:val="Compact"/>
            </w:pPr>
            <w:r>
              <w:t>127</w:t>
            </w:r>
          </w:p>
        </w:tc>
      </w:tr>
      <w:tr w:rsidR="008905CC" w14:paraId="3BF76A8D" w14:textId="77777777">
        <w:tc>
          <w:tcPr>
            <w:tcW w:w="7411" w:type="dxa"/>
          </w:tcPr>
          <w:p w14:paraId="0375DB3A" w14:textId="77777777" w:rsidR="008905CC" w:rsidRDefault="007C3620">
            <w:pPr>
              <w:pStyle w:val="Compact"/>
            </w:pPr>
            <w:r>
              <w:t>C - ASIAN, ASIAN SCOTTISH OR ASIAN BRITISH - Indian, Indian Scottish or Indian British</w:t>
            </w:r>
          </w:p>
        </w:tc>
        <w:tc>
          <w:tcPr>
            <w:tcW w:w="508" w:type="dxa"/>
          </w:tcPr>
          <w:p w14:paraId="5B67E635" w14:textId="77777777" w:rsidR="008905CC" w:rsidRDefault="007C3620">
            <w:pPr>
              <w:pStyle w:val="Compact"/>
            </w:pPr>
            <w:r>
              <w:t>246</w:t>
            </w:r>
          </w:p>
        </w:tc>
      </w:tr>
      <w:tr w:rsidR="008905CC" w14:paraId="4ED9B850" w14:textId="77777777">
        <w:tc>
          <w:tcPr>
            <w:tcW w:w="7411" w:type="dxa"/>
          </w:tcPr>
          <w:p w14:paraId="1DBF8143" w14:textId="77777777" w:rsidR="008905CC" w:rsidRDefault="007C3620">
            <w:pPr>
              <w:pStyle w:val="Compact"/>
            </w:pPr>
            <w:r>
              <w:t xml:space="preserve">C - ASIAN, ASIAN SCOTTISH OR ASIAN BRITISH - Bangladeshi, Bangladeshi Scottish </w:t>
            </w:r>
            <w:r>
              <w:lastRenderedPageBreak/>
              <w:t>or Bangladeshi British</w:t>
            </w:r>
          </w:p>
        </w:tc>
        <w:tc>
          <w:tcPr>
            <w:tcW w:w="508" w:type="dxa"/>
          </w:tcPr>
          <w:p w14:paraId="56CE993E" w14:textId="77777777" w:rsidR="008905CC" w:rsidRDefault="007C3620">
            <w:pPr>
              <w:pStyle w:val="Compact"/>
            </w:pPr>
            <w:r>
              <w:lastRenderedPageBreak/>
              <w:t>140</w:t>
            </w:r>
          </w:p>
        </w:tc>
      </w:tr>
      <w:tr w:rsidR="008905CC" w14:paraId="6EB91F93" w14:textId="77777777">
        <w:tc>
          <w:tcPr>
            <w:tcW w:w="7411" w:type="dxa"/>
          </w:tcPr>
          <w:p w14:paraId="1180B845" w14:textId="77777777" w:rsidR="008905CC" w:rsidRDefault="007C3620">
            <w:pPr>
              <w:pStyle w:val="Compact"/>
            </w:pPr>
            <w:r>
              <w:t>C - ASIAN, ASIAN SCOTTISH OR ASIAN BRITISH - Chinese, Chinese Scottish or Chinese British</w:t>
            </w:r>
          </w:p>
        </w:tc>
        <w:tc>
          <w:tcPr>
            <w:tcW w:w="508" w:type="dxa"/>
          </w:tcPr>
          <w:p w14:paraId="1229F56D" w14:textId="77777777" w:rsidR="008905CC" w:rsidRDefault="007C3620">
            <w:pPr>
              <w:pStyle w:val="Compact"/>
            </w:pPr>
            <w:r>
              <w:t>75</w:t>
            </w:r>
          </w:p>
        </w:tc>
      </w:tr>
      <w:tr w:rsidR="008905CC" w14:paraId="73E31008" w14:textId="77777777">
        <w:tc>
          <w:tcPr>
            <w:tcW w:w="7411" w:type="dxa"/>
          </w:tcPr>
          <w:p w14:paraId="4EFD4775" w14:textId="77777777" w:rsidR="008905CC" w:rsidRDefault="007C3620">
            <w:pPr>
              <w:pStyle w:val="Compact"/>
            </w:pPr>
            <w:r>
              <w:t>C - ASIAN, ASIAN SCOTTISH OR ASIAN BRITISH - Other Asian, Asian Scottish or Asian British</w:t>
            </w:r>
          </w:p>
        </w:tc>
        <w:tc>
          <w:tcPr>
            <w:tcW w:w="508" w:type="dxa"/>
          </w:tcPr>
          <w:p w14:paraId="65AB337C" w14:textId="77777777" w:rsidR="008905CC" w:rsidRDefault="007C3620">
            <w:pPr>
              <w:pStyle w:val="Compact"/>
            </w:pPr>
            <w:r>
              <w:t>142</w:t>
            </w:r>
          </w:p>
        </w:tc>
      </w:tr>
      <w:tr w:rsidR="008905CC" w14:paraId="36DA97AC" w14:textId="77777777">
        <w:tc>
          <w:tcPr>
            <w:tcW w:w="7411" w:type="dxa"/>
          </w:tcPr>
          <w:p w14:paraId="68EB0A00" w14:textId="77777777" w:rsidR="008905CC" w:rsidRDefault="007C3620">
            <w:pPr>
              <w:pStyle w:val="Compact"/>
            </w:pPr>
            <w:r>
              <w:t>D - AFRICAN - African, African Scottish or African British</w:t>
            </w:r>
          </w:p>
        </w:tc>
        <w:tc>
          <w:tcPr>
            <w:tcW w:w="508" w:type="dxa"/>
          </w:tcPr>
          <w:p w14:paraId="1BEB8F06" w14:textId="77777777" w:rsidR="008905CC" w:rsidRDefault="007C3620">
            <w:pPr>
              <w:pStyle w:val="Compact"/>
            </w:pPr>
            <w:r>
              <w:t>54</w:t>
            </w:r>
          </w:p>
        </w:tc>
      </w:tr>
      <w:tr w:rsidR="008905CC" w14:paraId="599F48B0" w14:textId="77777777">
        <w:tc>
          <w:tcPr>
            <w:tcW w:w="7411" w:type="dxa"/>
          </w:tcPr>
          <w:p w14:paraId="7AF967B0" w14:textId="77777777" w:rsidR="008905CC" w:rsidRDefault="007C3620">
            <w:pPr>
              <w:pStyle w:val="Compact"/>
            </w:pPr>
            <w:r>
              <w:t>D - AFRICAN - Other African background</w:t>
            </w:r>
          </w:p>
        </w:tc>
        <w:tc>
          <w:tcPr>
            <w:tcW w:w="508" w:type="dxa"/>
          </w:tcPr>
          <w:p w14:paraId="4D0BD2B5" w14:textId="77777777" w:rsidR="008905CC" w:rsidRDefault="007C3620">
            <w:pPr>
              <w:pStyle w:val="Compact"/>
            </w:pPr>
            <w:r>
              <w:t>109</w:t>
            </w:r>
          </w:p>
        </w:tc>
      </w:tr>
      <w:tr w:rsidR="008905CC" w14:paraId="39A59B5C" w14:textId="77777777">
        <w:tc>
          <w:tcPr>
            <w:tcW w:w="7411" w:type="dxa"/>
          </w:tcPr>
          <w:p w14:paraId="4EB46719" w14:textId="77777777" w:rsidR="008905CC" w:rsidRDefault="007C3620">
            <w:pPr>
              <w:pStyle w:val="Compact"/>
            </w:pPr>
            <w:r>
              <w:t>E - CARIBBEAN OR BLACK - Caribbean, Caribbean Scottish or Caribbean British</w:t>
            </w:r>
          </w:p>
        </w:tc>
        <w:tc>
          <w:tcPr>
            <w:tcW w:w="508" w:type="dxa"/>
          </w:tcPr>
          <w:p w14:paraId="79E3F7C8" w14:textId="77777777" w:rsidR="008905CC" w:rsidRDefault="007C3620">
            <w:pPr>
              <w:pStyle w:val="Compact"/>
            </w:pPr>
            <w:r>
              <w:t>&lt;10</w:t>
            </w:r>
          </w:p>
        </w:tc>
      </w:tr>
      <w:tr w:rsidR="008905CC" w14:paraId="42C72C98" w14:textId="77777777">
        <w:tc>
          <w:tcPr>
            <w:tcW w:w="7411" w:type="dxa"/>
          </w:tcPr>
          <w:p w14:paraId="2145DAE3" w14:textId="77777777" w:rsidR="008905CC" w:rsidRDefault="007C3620">
            <w:pPr>
              <w:pStyle w:val="Compact"/>
            </w:pPr>
            <w:r>
              <w:t>E - CARIBBEAN OR BLACK - Black, Black Scottish or Black British</w:t>
            </w:r>
          </w:p>
        </w:tc>
        <w:tc>
          <w:tcPr>
            <w:tcW w:w="508" w:type="dxa"/>
          </w:tcPr>
          <w:p w14:paraId="0FEAEE5D" w14:textId="77777777" w:rsidR="008905CC" w:rsidRDefault="007C3620">
            <w:pPr>
              <w:pStyle w:val="Compact"/>
            </w:pPr>
            <w:r>
              <w:t>16</w:t>
            </w:r>
          </w:p>
        </w:tc>
      </w:tr>
      <w:tr w:rsidR="008905CC" w14:paraId="78EEE64B" w14:textId="77777777">
        <w:tc>
          <w:tcPr>
            <w:tcW w:w="7411" w:type="dxa"/>
          </w:tcPr>
          <w:p w14:paraId="6E068FA5" w14:textId="77777777" w:rsidR="008905CC" w:rsidRDefault="007C3620">
            <w:pPr>
              <w:pStyle w:val="Compact"/>
            </w:pPr>
            <w:r>
              <w:t>E - CARIBBEAN OR BLACK</w:t>
            </w:r>
          </w:p>
        </w:tc>
        <w:tc>
          <w:tcPr>
            <w:tcW w:w="508" w:type="dxa"/>
          </w:tcPr>
          <w:p w14:paraId="0CC19146" w14:textId="77777777" w:rsidR="008905CC" w:rsidRDefault="007C3620">
            <w:pPr>
              <w:pStyle w:val="Compact"/>
            </w:pPr>
            <w:r>
              <w:t>42</w:t>
            </w:r>
          </w:p>
        </w:tc>
      </w:tr>
      <w:tr w:rsidR="008905CC" w14:paraId="07D5A796" w14:textId="77777777">
        <w:tc>
          <w:tcPr>
            <w:tcW w:w="7411" w:type="dxa"/>
          </w:tcPr>
          <w:p w14:paraId="0005D079" w14:textId="77777777" w:rsidR="008905CC" w:rsidRDefault="007C3620">
            <w:pPr>
              <w:pStyle w:val="Compact"/>
            </w:pPr>
            <w:r>
              <w:t>E - CARIBBEAN OR BLACK - Other Caribbean or Black background</w:t>
            </w:r>
          </w:p>
        </w:tc>
        <w:tc>
          <w:tcPr>
            <w:tcW w:w="508" w:type="dxa"/>
          </w:tcPr>
          <w:p w14:paraId="7A1B63EE" w14:textId="77777777" w:rsidR="008905CC" w:rsidRDefault="007C3620">
            <w:pPr>
              <w:pStyle w:val="Compact"/>
            </w:pPr>
            <w:r>
              <w:t>62</w:t>
            </w:r>
          </w:p>
        </w:tc>
      </w:tr>
      <w:tr w:rsidR="008905CC" w14:paraId="3E79E39A" w14:textId="77777777">
        <w:tc>
          <w:tcPr>
            <w:tcW w:w="7411" w:type="dxa"/>
          </w:tcPr>
          <w:p w14:paraId="2A8AEC27" w14:textId="77777777" w:rsidR="008905CC" w:rsidRDefault="007C3620">
            <w:pPr>
              <w:pStyle w:val="Compact"/>
            </w:pPr>
            <w:r>
              <w:t>F - OTHER ETHNIC GROUP - Arab, Arab Scottish or Arab British</w:t>
            </w:r>
          </w:p>
        </w:tc>
        <w:tc>
          <w:tcPr>
            <w:tcW w:w="508" w:type="dxa"/>
          </w:tcPr>
          <w:p w14:paraId="2E9252A9" w14:textId="77777777" w:rsidR="008905CC" w:rsidRDefault="007C3620">
            <w:pPr>
              <w:pStyle w:val="Compact"/>
            </w:pPr>
            <w:r>
              <w:t>&lt;10</w:t>
            </w:r>
          </w:p>
        </w:tc>
      </w:tr>
      <w:tr w:rsidR="008905CC" w14:paraId="0E0FDAA7" w14:textId="77777777">
        <w:tc>
          <w:tcPr>
            <w:tcW w:w="7411" w:type="dxa"/>
          </w:tcPr>
          <w:p w14:paraId="651D6C5A" w14:textId="77777777" w:rsidR="008905CC" w:rsidRDefault="007C3620">
            <w:pPr>
              <w:pStyle w:val="Compact"/>
            </w:pPr>
            <w:r>
              <w:t>F - OTHER ETHNIC GROUP - Other</w:t>
            </w:r>
          </w:p>
        </w:tc>
        <w:tc>
          <w:tcPr>
            <w:tcW w:w="508" w:type="dxa"/>
          </w:tcPr>
          <w:p w14:paraId="34D297A1" w14:textId="77777777" w:rsidR="008905CC" w:rsidRDefault="007C3620">
            <w:pPr>
              <w:pStyle w:val="Compact"/>
            </w:pPr>
            <w:r>
              <w:t>18</w:t>
            </w:r>
          </w:p>
        </w:tc>
      </w:tr>
      <w:tr w:rsidR="008905CC" w14:paraId="298C44A4" w14:textId="77777777">
        <w:tc>
          <w:tcPr>
            <w:tcW w:w="7411" w:type="dxa"/>
          </w:tcPr>
          <w:p w14:paraId="1143E002" w14:textId="77777777" w:rsidR="008905CC" w:rsidRDefault="007C3620">
            <w:pPr>
              <w:pStyle w:val="Compact"/>
            </w:pPr>
            <w:r>
              <w:t>A - WHITE - Showman / Showwoman</w:t>
            </w:r>
          </w:p>
        </w:tc>
        <w:tc>
          <w:tcPr>
            <w:tcW w:w="508" w:type="dxa"/>
          </w:tcPr>
          <w:p w14:paraId="73F56E10" w14:textId="77777777" w:rsidR="008905CC" w:rsidRDefault="007C3620">
            <w:pPr>
              <w:pStyle w:val="Compact"/>
            </w:pPr>
            <w:r>
              <w:t>&lt;10</w:t>
            </w:r>
          </w:p>
        </w:tc>
      </w:tr>
      <w:tr w:rsidR="008905CC" w14:paraId="3E5ED24E" w14:textId="77777777">
        <w:tc>
          <w:tcPr>
            <w:tcW w:w="7411" w:type="dxa"/>
          </w:tcPr>
          <w:p w14:paraId="0531FF8E" w14:textId="77777777" w:rsidR="008905CC" w:rsidRDefault="007C3620">
            <w:pPr>
              <w:pStyle w:val="Compact"/>
            </w:pPr>
            <w:r>
              <w:t>NA</w:t>
            </w:r>
          </w:p>
        </w:tc>
        <w:tc>
          <w:tcPr>
            <w:tcW w:w="508" w:type="dxa"/>
          </w:tcPr>
          <w:p w14:paraId="6A2591FF" w14:textId="77777777" w:rsidR="008905CC" w:rsidRDefault="007C3620">
            <w:pPr>
              <w:pStyle w:val="Compact"/>
            </w:pPr>
            <w:r>
              <w:t>&lt;10</w:t>
            </w:r>
          </w:p>
        </w:tc>
      </w:tr>
    </w:tbl>
    <w:p w14:paraId="56B6DF0A" w14:textId="77777777" w:rsidR="008905CC" w:rsidRDefault="007C3620">
      <w:pPr>
        <w:pStyle w:val="BodyText"/>
      </w:pPr>
      <w:r>
        <w:t xml:space="preserve"> </w:t>
      </w:r>
    </w:p>
    <w:tbl>
      <w:tblPr>
        <w:tblStyle w:val="Table"/>
        <w:tblW w:w="0" w:type="auto"/>
        <w:tblLook w:val="0020" w:firstRow="1" w:lastRow="0" w:firstColumn="0" w:lastColumn="0" w:noHBand="0" w:noVBand="0"/>
      </w:tblPr>
      <w:tblGrid>
        <w:gridCol w:w="2544"/>
        <w:gridCol w:w="1008"/>
      </w:tblGrid>
      <w:tr w:rsidR="008905CC" w14:paraId="38D2F5E2"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40976144" w14:textId="77777777" w:rsidR="008905CC" w:rsidRDefault="007C3620">
            <w:pPr>
              <w:pStyle w:val="Compact"/>
            </w:pPr>
            <w:r>
              <w:t>SSCQ Groups</w:t>
            </w:r>
          </w:p>
        </w:tc>
        <w:tc>
          <w:tcPr>
            <w:tcW w:w="0" w:type="auto"/>
          </w:tcPr>
          <w:p w14:paraId="0A7B575B" w14:textId="77777777" w:rsidR="008905CC" w:rsidRDefault="007C3620">
            <w:pPr>
              <w:pStyle w:val="Compact"/>
              <w:jc w:val="right"/>
            </w:pPr>
            <w:r>
              <w:t>Sample</w:t>
            </w:r>
          </w:p>
        </w:tc>
      </w:tr>
      <w:tr w:rsidR="008905CC" w14:paraId="7E342708" w14:textId="77777777">
        <w:tc>
          <w:tcPr>
            <w:tcW w:w="0" w:type="auto"/>
          </w:tcPr>
          <w:p w14:paraId="102F9EF2" w14:textId="77777777" w:rsidR="008905CC" w:rsidRDefault="007C3620">
            <w:pPr>
              <w:pStyle w:val="Compact"/>
            </w:pPr>
            <w:r>
              <w:t>White: Scottish</w:t>
            </w:r>
          </w:p>
        </w:tc>
        <w:tc>
          <w:tcPr>
            <w:tcW w:w="0" w:type="auto"/>
          </w:tcPr>
          <w:p w14:paraId="0DF1541A" w14:textId="77777777" w:rsidR="008905CC" w:rsidRDefault="007C3620">
            <w:pPr>
              <w:pStyle w:val="Compact"/>
              <w:jc w:val="right"/>
            </w:pPr>
            <w:r>
              <w:t>14742</w:t>
            </w:r>
          </w:p>
        </w:tc>
      </w:tr>
      <w:tr w:rsidR="008905CC" w14:paraId="278F5775" w14:textId="77777777">
        <w:tc>
          <w:tcPr>
            <w:tcW w:w="0" w:type="auto"/>
          </w:tcPr>
          <w:p w14:paraId="31CA69F3" w14:textId="77777777" w:rsidR="008905CC" w:rsidRDefault="007C3620">
            <w:pPr>
              <w:pStyle w:val="Compact"/>
            </w:pPr>
            <w:r>
              <w:t>White: Other British</w:t>
            </w:r>
          </w:p>
        </w:tc>
        <w:tc>
          <w:tcPr>
            <w:tcW w:w="0" w:type="auto"/>
          </w:tcPr>
          <w:p w14:paraId="3D4F557C" w14:textId="77777777" w:rsidR="008905CC" w:rsidRDefault="007C3620">
            <w:pPr>
              <w:pStyle w:val="Compact"/>
              <w:jc w:val="right"/>
            </w:pPr>
            <w:r>
              <w:t>2830</w:t>
            </w:r>
          </w:p>
        </w:tc>
      </w:tr>
      <w:tr w:rsidR="008905CC" w14:paraId="5B97C783" w14:textId="77777777">
        <w:tc>
          <w:tcPr>
            <w:tcW w:w="0" w:type="auto"/>
          </w:tcPr>
          <w:p w14:paraId="411ADC13" w14:textId="77777777" w:rsidR="008905CC" w:rsidRDefault="007C3620">
            <w:pPr>
              <w:pStyle w:val="Compact"/>
            </w:pPr>
            <w:r>
              <w:t>White: Polish</w:t>
            </w:r>
          </w:p>
        </w:tc>
        <w:tc>
          <w:tcPr>
            <w:tcW w:w="0" w:type="auto"/>
          </w:tcPr>
          <w:p w14:paraId="3E79A410" w14:textId="77777777" w:rsidR="008905CC" w:rsidRDefault="007C3620">
            <w:pPr>
              <w:pStyle w:val="Compact"/>
              <w:jc w:val="right"/>
            </w:pPr>
            <w:r>
              <w:t>161</w:t>
            </w:r>
          </w:p>
        </w:tc>
      </w:tr>
      <w:tr w:rsidR="008905CC" w14:paraId="6DD91503" w14:textId="77777777">
        <w:tc>
          <w:tcPr>
            <w:tcW w:w="0" w:type="auto"/>
          </w:tcPr>
          <w:p w14:paraId="68CDD44A" w14:textId="77777777" w:rsidR="008905CC" w:rsidRDefault="007C3620">
            <w:pPr>
              <w:pStyle w:val="Compact"/>
            </w:pPr>
            <w:r>
              <w:t>White: Other</w:t>
            </w:r>
          </w:p>
        </w:tc>
        <w:tc>
          <w:tcPr>
            <w:tcW w:w="0" w:type="auto"/>
          </w:tcPr>
          <w:p w14:paraId="3B5603B5" w14:textId="77777777" w:rsidR="008905CC" w:rsidRDefault="007C3620">
            <w:pPr>
              <w:pStyle w:val="Compact"/>
              <w:jc w:val="right"/>
            </w:pPr>
            <w:r>
              <w:t>618</w:t>
            </w:r>
          </w:p>
        </w:tc>
      </w:tr>
      <w:tr w:rsidR="008905CC" w14:paraId="2042AA68" w14:textId="77777777">
        <w:tc>
          <w:tcPr>
            <w:tcW w:w="0" w:type="auto"/>
          </w:tcPr>
          <w:p w14:paraId="3C080143" w14:textId="77777777" w:rsidR="008905CC" w:rsidRDefault="007C3620">
            <w:pPr>
              <w:pStyle w:val="Compact"/>
            </w:pPr>
            <w:r>
              <w:t>Asian</w:t>
            </w:r>
          </w:p>
        </w:tc>
        <w:tc>
          <w:tcPr>
            <w:tcW w:w="0" w:type="auto"/>
          </w:tcPr>
          <w:p w14:paraId="1A2533D8" w14:textId="77777777" w:rsidR="008905CC" w:rsidRDefault="007C3620">
            <w:pPr>
              <w:pStyle w:val="Compact"/>
              <w:jc w:val="right"/>
            </w:pPr>
            <w:r>
              <w:t>835</w:t>
            </w:r>
          </w:p>
        </w:tc>
      </w:tr>
      <w:tr w:rsidR="008905CC" w14:paraId="66E24792" w14:textId="77777777">
        <w:tc>
          <w:tcPr>
            <w:tcW w:w="0" w:type="auto"/>
          </w:tcPr>
          <w:p w14:paraId="38900F74" w14:textId="77777777" w:rsidR="008905CC" w:rsidRDefault="007C3620">
            <w:pPr>
              <w:pStyle w:val="Compact"/>
            </w:pPr>
            <w:r>
              <w:t>All other ethnic groups</w:t>
            </w:r>
          </w:p>
        </w:tc>
        <w:tc>
          <w:tcPr>
            <w:tcW w:w="0" w:type="auto"/>
          </w:tcPr>
          <w:p w14:paraId="09ADAD69" w14:textId="77777777" w:rsidR="008905CC" w:rsidRDefault="007C3620">
            <w:pPr>
              <w:pStyle w:val="Compact"/>
              <w:jc w:val="right"/>
            </w:pPr>
            <w:r>
              <w:t>482</w:t>
            </w:r>
          </w:p>
        </w:tc>
      </w:tr>
    </w:tbl>
    <w:p w14:paraId="11E08F3F" w14:textId="77777777" w:rsidR="008905CC" w:rsidRDefault="007C3620">
      <w:r>
        <w:br w:type="page"/>
      </w:r>
    </w:p>
    <w:p w14:paraId="6EE42A3E" w14:textId="77777777" w:rsidR="008905CC" w:rsidRDefault="007C3620">
      <w:pPr>
        <w:pStyle w:val="Heading1"/>
      </w:pPr>
      <w:bookmarkStart w:id="16" w:name="X5b3d62b2c8ec49da1e449d65bd2d28dcdcebb48"/>
      <w:bookmarkEnd w:id="15"/>
      <w:bookmarkEnd w:id="14"/>
      <w:bookmarkEnd w:id="0"/>
      <w:r>
        <w:lastRenderedPageBreak/>
        <w:t>Annex A. Comparison of the Pooled Surveys</w:t>
      </w:r>
    </w:p>
    <w:p w14:paraId="42357BDE" w14:textId="77777777" w:rsidR="008905CC" w:rsidRDefault="007C3620">
      <w:pPr>
        <w:pStyle w:val="FirstParagraph"/>
      </w:pPr>
      <w:r>
        <w:t>In this section, estimates from the pooled SSCQ and its constituent surveys, SCJS, SHeS and SHS, are displayed and assessed to determine agreement for key variables.</w:t>
      </w:r>
    </w:p>
    <w:p w14:paraId="18DDCA7E" w14:textId="77777777" w:rsidR="008905CC" w:rsidRDefault="007C3620">
      <w:pPr>
        <w:pStyle w:val="BodyText"/>
      </w:pPr>
      <w:r>
        <w:t>There are three ways in which the results could vary between the three component surveys:</w:t>
      </w:r>
    </w:p>
    <w:p w14:paraId="0FAE0B42" w14:textId="77777777" w:rsidR="008905CC" w:rsidRDefault="007C3620">
      <w:pPr>
        <w:numPr>
          <w:ilvl w:val="0"/>
          <w:numId w:val="5"/>
        </w:numPr>
      </w:pPr>
      <w:r>
        <w:t>There could be different biases in the pool of individuals completing the different surveys which weighting can only partly correct for.</w:t>
      </w:r>
    </w:p>
    <w:p w14:paraId="22F2A165" w14:textId="77777777" w:rsidR="008905CC" w:rsidRDefault="007C3620">
      <w:pPr>
        <w:numPr>
          <w:ilvl w:val="0"/>
          <w:numId w:val="5"/>
        </w:numPr>
      </w:pPr>
      <w:r>
        <w:t>The different context in which the questions are asked in the three component surveys as well as mode effects may have an impact on responses given.</w:t>
      </w:r>
    </w:p>
    <w:p w14:paraId="51265EEE" w14:textId="77777777" w:rsidR="008905CC" w:rsidRDefault="007C3620">
      <w:pPr>
        <w:numPr>
          <w:ilvl w:val="0"/>
          <w:numId w:val="5"/>
        </w:numPr>
      </w:pPr>
      <w:r>
        <w:t>Mode effects, e.g. sexual orientation, trans status, veteran status and mental health and wellbeing are asked by an interviewer in SCJS and SHS but in a self-completion module in SHeS.</w:t>
      </w:r>
    </w:p>
    <w:p w14:paraId="4814B5FD" w14:textId="77777777" w:rsidR="008905CC" w:rsidRDefault="007C3620">
      <w:pPr>
        <w:pStyle w:val="FirstParagraph"/>
      </w:pPr>
      <w:r>
        <w:t>The data presented here are the components of the SSCQ as contributed by each survey based on the SSCQ’s pooled methodology, not the estimates from each individual survey as published in their respective publications. Differences from published estimates in individual surveys are due to the the valid sample size and weights being applied before pooling (see section 1.2).</w:t>
      </w:r>
    </w:p>
    <w:p w14:paraId="5D968978" w14:textId="77777777" w:rsidR="008905CC" w:rsidRDefault="007C3620">
      <w:pPr>
        <w:pStyle w:val="BodyText"/>
      </w:pPr>
      <w:r>
        <w:rPr>
          <w:i/>
          <w:iCs/>
        </w:rPr>
        <w:t>Row percentages may not add up to 100% due to rounding and the exclusion of “refused” and “don’t know” responses.</w:t>
      </w:r>
    </w:p>
    <w:p w14:paraId="7324A346" w14:textId="77777777" w:rsidR="008905CC" w:rsidRDefault="007C3620">
      <w:pPr>
        <w:pStyle w:val="Heading2"/>
      </w:pPr>
      <w:bookmarkStart w:id="17" w:name="Xc1ccf61dd44dd6437cbb5217b6627b08fce6380"/>
      <w:r>
        <w:t>Table A.1: Self-assessed general health by source survey (row % and margin of error)</w:t>
      </w:r>
    </w:p>
    <w:tbl>
      <w:tblPr>
        <w:tblStyle w:val="Table"/>
        <w:tblW w:w="0" w:type="auto"/>
        <w:tblLook w:val="0020" w:firstRow="1" w:lastRow="0" w:firstColumn="0" w:lastColumn="0" w:noHBand="0" w:noVBand="0"/>
      </w:tblPr>
      <w:tblGrid>
        <w:gridCol w:w="910"/>
        <w:gridCol w:w="1290"/>
        <w:gridCol w:w="1220"/>
        <w:gridCol w:w="1220"/>
        <w:gridCol w:w="1092"/>
        <w:gridCol w:w="1128"/>
      </w:tblGrid>
      <w:tr w:rsidR="008905CC" w14:paraId="35EB6ED8"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5F9896BC" w14:textId="77777777" w:rsidR="008905CC" w:rsidRDefault="007C3620">
            <w:pPr>
              <w:pStyle w:val="Compact"/>
            </w:pPr>
            <w:r>
              <w:t>Survey</w:t>
            </w:r>
          </w:p>
        </w:tc>
        <w:tc>
          <w:tcPr>
            <w:tcW w:w="0" w:type="auto"/>
          </w:tcPr>
          <w:p w14:paraId="7BDB901F" w14:textId="77777777" w:rsidR="008905CC" w:rsidRDefault="007C3620">
            <w:pPr>
              <w:pStyle w:val="Compact"/>
            </w:pPr>
            <w:r>
              <w:t>Very Good</w:t>
            </w:r>
          </w:p>
        </w:tc>
        <w:tc>
          <w:tcPr>
            <w:tcW w:w="0" w:type="auto"/>
          </w:tcPr>
          <w:p w14:paraId="3134EFB2" w14:textId="77777777" w:rsidR="008905CC" w:rsidRDefault="007C3620">
            <w:pPr>
              <w:pStyle w:val="Compact"/>
            </w:pPr>
            <w:r>
              <w:t>Good</w:t>
            </w:r>
          </w:p>
        </w:tc>
        <w:tc>
          <w:tcPr>
            <w:tcW w:w="0" w:type="auto"/>
          </w:tcPr>
          <w:p w14:paraId="56DC5202" w14:textId="77777777" w:rsidR="008905CC" w:rsidRDefault="007C3620">
            <w:pPr>
              <w:pStyle w:val="Compact"/>
            </w:pPr>
            <w:r>
              <w:t>Fair</w:t>
            </w:r>
          </w:p>
        </w:tc>
        <w:tc>
          <w:tcPr>
            <w:tcW w:w="0" w:type="auto"/>
          </w:tcPr>
          <w:p w14:paraId="5D430877" w14:textId="77777777" w:rsidR="008905CC" w:rsidRDefault="007C3620">
            <w:pPr>
              <w:pStyle w:val="Compact"/>
            </w:pPr>
            <w:r>
              <w:t>Bad</w:t>
            </w:r>
          </w:p>
        </w:tc>
        <w:tc>
          <w:tcPr>
            <w:tcW w:w="0" w:type="auto"/>
          </w:tcPr>
          <w:p w14:paraId="6FA8B317" w14:textId="77777777" w:rsidR="008905CC" w:rsidRDefault="007C3620">
            <w:pPr>
              <w:pStyle w:val="Compact"/>
            </w:pPr>
            <w:r>
              <w:t>Very Bad</w:t>
            </w:r>
          </w:p>
        </w:tc>
      </w:tr>
      <w:tr w:rsidR="008905CC" w14:paraId="3182AF22" w14:textId="77777777">
        <w:tc>
          <w:tcPr>
            <w:tcW w:w="0" w:type="auto"/>
          </w:tcPr>
          <w:p w14:paraId="2408271E" w14:textId="77777777" w:rsidR="008905CC" w:rsidRDefault="007C3620">
            <w:pPr>
              <w:pStyle w:val="Compact"/>
            </w:pPr>
            <w:r>
              <w:t>SSCQ</w:t>
            </w:r>
          </w:p>
        </w:tc>
        <w:tc>
          <w:tcPr>
            <w:tcW w:w="0" w:type="auto"/>
          </w:tcPr>
          <w:p w14:paraId="67D16AC9" w14:textId="77777777" w:rsidR="008905CC" w:rsidRDefault="007C3620">
            <w:pPr>
              <w:pStyle w:val="Compact"/>
            </w:pPr>
            <w:r>
              <w:t>29.3 ± 0.9</w:t>
            </w:r>
          </w:p>
        </w:tc>
        <w:tc>
          <w:tcPr>
            <w:tcW w:w="0" w:type="auto"/>
          </w:tcPr>
          <w:p w14:paraId="67FA8665" w14:textId="77777777" w:rsidR="008905CC" w:rsidRDefault="007C3620">
            <w:pPr>
              <w:pStyle w:val="Compact"/>
            </w:pPr>
            <w:r>
              <w:t>43.1 ± 0.9</w:t>
            </w:r>
          </w:p>
        </w:tc>
        <w:tc>
          <w:tcPr>
            <w:tcW w:w="0" w:type="auto"/>
          </w:tcPr>
          <w:p w14:paraId="1102C7AE" w14:textId="77777777" w:rsidR="008905CC" w:rsidRDefault="007C3620">
            <w:pPr>
              <w:pStyle w:val="Compact"/>
            </w:pPr>
            <w:r>
              <w:t>19.8 ± 0.7</w:t>
            </w:r>
          </w:p>
        </w:tc>
        <w:tc>
          <w:tcPr>
            <w:tcW w:w="0" w:type="auto"/>
          </w:tcPr>
          <w:p w14:paraId="32B322C5" w14:textId="77777777" w:rsidR="008905CC" w:rsidRDefault="007C3620">
            <w:pPr>
              <w:pStyle w:val="Compact"/>
            </w:pPr>
            <w:r>
              <w:t>6.1 ± 0.4</w:t>
            </w:r>
          </w:p>
        </w:tc>
        <w:tc>
          <w:tcPr>
            <w:tcW w:w="0" w:type="auto"/>
          </w:tcPr>
          <w:p w14:paraId="1D49C120" w14:textId="77777777" w:rsidR="008905CC" w:rsidRDefault="007C3620">
            <w:pPr>
              <w:pStyle w:val="Compact"/>
            </w:pPr>
            <w:r>
              <w:t>1.7 ± 0.2</w:t>
            </w:r>
          </w:p>
        </w:tc>
      </w:tr>
      <w:tr w:rsidR="008905CC" w14:paraId="4B8E3F28" w14:textId="77777777">
        <w:tc>
          <w:tcPr>
            <w:tcW w:w="0" w:type="auto"/>
          </w:tcPr>
          <w:p w14:paraId="7D858244" w14:textId="77777777" w:rsidR="008905CC" w:rsidRDefault="007C3620">
            <w:pPr>
              <w:pStyle w:val="Compact"/>
            </w:pPr>
            <w:r>
              <w:t>SCJS</w:t>
            </w:r>
          </w:p>
        </w:tc>
        <w:tc>
          <w:tcPr>
            <w:tcW w:w="0" w:type="auto"/>
          </w:tcPr>
          <w:p w14:paraId="05E35F85" w14:textId="77777777" w:rsidR="008905CC" w:rsidRDefault="007C3620">
            <w:pPr>
              <w:pStyle w:val="Compact"/>
            </w:pPr>
            <w:r>
              <w:t>28.7 ± 1.7</w:t>
            </w:r>
          </w:p>
        </w:tc>
        <w:tc>
          <w:tcPr>
            <w:tcW w:w="0" w:type="auto"/>
          </w:tcPr>
          <w:p w14:paraId="7ED42BAF" w14:textId="77777777" w:rsidR="008905CC" w:rsidRDefault="007C3620">
            <w:pPr>
              <w:pStyle w:val="Compact"/>
            </w:pPr>
            <w:r>
              <w:t>43.7 ± 1.8</w:t>
            </w:r>
          </w:p>
        </w:tc>
        <w:tc>
          <w:tcPr>
            <w:tcW w:w="0" w:type="auto"/>
          </w:tcPr>
          <w:p w14:paraId="2C9CC585" w14:textId="77777777" w:rsidR="008905CC" w:rsidRDefault="007C3620">
            <w:pPr>
              <w:pStyle w:val="Compact"/>
            </w:pPr>
            <w:r>
              <w:t>20.5 ± 1.4</w:t>
            </w:r>
          </w:p>
        </w:tc>
        <w:tc>
          <w:tcPr>
            <w:tcW w:w="0" w:type="auto"/>
          </w:tcPr>
          <w:p w14:paraId="15525D5B" w14:textId="77777777" w:rsidR="008905CC" w:rsidRDefault="007C3620">
            <w:pPr>
              <w:pStyle w:val="Compact"/>
            </w:pPr>
            <w:r>
              <w:t>5.5 ± 0.7</w:t>
            </w:r>
          </w:p>
        </w:tc>
        <w:tc>
          <w:tcPr>
            <w:tcW w:w="0" w:type="auto"/>
          </w:tcPr>
          <w:p w14:paraId="13D41DF7" w14:textId="77777777" w:rsidR="008905CC" w:rsidRDefault="007C3620">
            <w:pPr>
              <w:pStyle w:val="Compact"/>
            </w:pPr>
            <w:r>
              <w:t>1.7 ± 0.4</w:t>
            </w:r>
          </w:p>
        </w:tc>
      </w:tr>
      <w:tr w:rsidR="008905CC" w14:paraId="6F1057D4" w14:textId="77777777">
        <w:tc>
          <w:tcPr>
            <w:tcW w:w="0" w:type="auto"/>
          </w:tcPr>
          <w:p w14:paraId="2B19C4BD" w14:textId="77777777" w:rsidR="008905CC" w:rsidRDefault="007C3620">
            <w:pPr>
              <w:pStyle w:val="Compact"/>
            </w:pPr>
            <w:r>
              <w:t>SHeS</w:t>
            </w:r>
          </w:p>
        </w:tc>
        <w:tc>
          <w:tcPr>
            <w:tcW w:w="0" w:type="auto"/>
          </w:tcPr>
          <w:p w14:paraId="169D4D05" w14:textId="77777777" w:rsidR="008905CC" w:rsidRDefault="007C3620">
            <w:pPr>
              <w:pStyle w:val="Compact"/>
            </w:pPr>
            <w:r>
              <w:t>29.9 ± 2</w:t>
            </w:r>
          </w:p>
        </w:tc>
        <w:tc>
          <w:tcPr>
            <w:tcW w:w="0" w:type="auto"/>
          </w:tcPr>
          <w:p w14:paraId="2BA081CC" w14:textId="77777777" w:rsidR="008905CC" w:rsidRDefault="007C3620">
            <w:pPr>
              <w:pStyle w:val="Compact"/>
            </w:pPr>
            <w:r>
              <w:t>42 ± 2</w:t>
            </w:r>
          </w:p>
        </w:tc>
        <w:tc>
          <w:tcPr>
            <w:tcW w:w="0" w:type="auto"/>
          </w:tcPr>
          <w:p w14:paraId="47A045CD" w14:textId="77777777" w:rsidR="008905CC" w:rsidRDefault="007C3620">
            <w:pPr>
              <w:pStyle w:val="Compact"/>
            </w:pPr>
            <w:r>
              <w:t>19.1 ± 1.4</w:t>
            </w:r>
          </w:p>
        </w:tc>
        <w:tc>
          <w:tcPr>
            <w:tcW w:w="0" w:type="auto"/>
          </w:tcPr>
          <w:p w14:paraId="6AA2A961" w14:textId="77777777" w:rsidR="008905CC" w:rsidRDefault="007C3620">
            <w:pPr>
              <w:pStyle w:val="Compact"/>
            </w:pPr>
            <w:r>
              <w:t>7 ± 0.9</w:t>
            </w:r>
          </w:p>
        </w:tc>
        <w:tc>
          <w:tcPr>
            <w:tcW w:w="0" w:type="auto"/>
          </w:tcPr>
          <w:p w14:paraId="7D48DB41" w14:textId="77777777" w:rsidR="008905CC" w:rsidRDefault="007C3620">
            <w:pPr>
              <w:pStyle w:val="Compact"/>
            </w:pPr>
            <w:r>
              <w:t>2 ± 0.5</w:t>
            </w:r>
          </w:p>
        </w:tc>
      </w:tr>
      <w:tr w:rsidR="008905CC" w14:paraId="380B0876" w14:textId="77777777">
        <w:tc>
          <w:tcPr>
            <w:tcW w:w="0" w:type="auto"/>
          </w:tcPr>
          <w:p w14:paraId="61064CBC" w14:textId="77777777" w:rsidR="008905CC" w:rsidRDefault="007C3620">
            <w:pPr>
              <w:pStyle w:val="Compact"/>
            </w:pPr>
            <w:r>
              <w:t>SHS</w:t>
            </w:r>
          </w:p>
        </w:tc>
        <w:tc>
          <w:tcPr>
            <w:tcW w:w="0" w:type="auto"/>
          </w:tcPr>
          <w:p w14:paraId="49BAB7B7" w14:textId="77777777" w:rsidR="008905CC" w:rsidRDefault="007C3620">
            <w:pPr>
              <w:pStyle w:val="Compact"/>
            </w:pPr>
            <w:r>
              <w:t>29.4 ± 1.2</w:t>
            </w:r>
          </w:p>
        </w:tc>
        <w:tc>
          <w:tcPr>
            <w:tcW w:w="0" w:type="auto"/>
          </w:tcPr>
          <w:p w14:paraId="1B26C525" w14:textId="77777777" w:rsidR="008905CC" w:rsidRDefault="007C3620">
            <w:pPr>
              <w:pStyle w:val="Compact"/>
            </w:pPr>
            <w:r>
              <w:t>43.1 ± 1.2</w:t>
            </w:r>
          </w:p>
        </w:tc>
        <w:tc>
          <w:tcPr>
            <w:tcW w:w="0" w:type="auto"/>
          </w:tcPr>
          <w:p w14:paraId="3965D1DE" w14:textId="77777777" w:rsidR="008905CC" w:rsidRDefault="007C3620">
            <w:pPr>
              <w:pStyle w:val="Compact"/>
            </w:pPr>
            <w:r>
              <w:t>19.7 ± 0.9</w:t>
            </w:r>
          </w:p>
        </w:tc>
        <w:tc>
          <w:tcPr>
            <w:tcW w:w="0" w:type="auto"/>
          </w:tcPr>
          <w:p w14:paraId="1230F8AF" w14:textId="77777777" w:rsidR="008905CC" w:rsidRDefault="007C3620">
            <w:pPr>
              <w:pStyle w:val="Compact"/>
            </w:pPr>
            <w:r>
              <w:t>6.1 ± 0.5</w:t>
            </w:r>
          </w:p>
        </w:tc>
        <w:tc>
          <w:tcPr>
            <w:tcW w:w="0" w:type="auto"/>
          </w:tcPr>
          <w:p w14:paraId="7BC10C8A" w14:textId="77777777" w:rsidR="008905CC" w:rsidRDefault="007C3620">
            <w:pPr>
              <w:pStyle w:val="Compact"/>
            </w:pPr>
            <w:r>
              <w:t>1.6 ± 0.3</w:t>
            </w:r>
          </w:p>
        </w:tc>
      </w:tr>
    </w:tbl>
    <w:p w14:paraId="1A507A4D" w14:textId="77777777" w:rsidR="008905CC" w:rsidRDefault="007C3620">
      <w:pPr>
        <w:pStyle w:val="Heading2"/>
      </w:pPr>
      <w:bookmarkStart w:id="18" w:name="Xeff08a008aef5801b1485198b7b2c0281f8a039"/>
      <w:bookmarkEnd w:id="17"/>
      <w:r>
        <w:t>Table A.2: Current smoker by source survey (row % and margin of error)</w:t>
      </w:r>
    </w:p>
    <w:tbl>
      <w:tblPr>
        <w:tblStyle w:val="Table"/>
        <w:tblW w:w="0" w:type="auto"/>
        <w:tblLook w:val="0020" w:firstRow="1" w:lastRow="0" w:firstColumn="0" w:lastColumn="0" w:noHBand="0" w:noVBand="0"/>
      </w:tblPr>
      <w:tblGrid>
        <w:gridCol w:w="910"/>
        <w:gridCol w:w="1220"/>
        <w:gridCol w:w="1220"/>
      </w:tblGrid>
      <w:tr w:rsidR="008905CC" w14:paraId="32E4D4B3"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1C7090E0" w14:textId="77777777" w:rsidR="008905CC" w:rsidRDefault="007C3620">
            <w:pPr>
              <w:pStyle w:val="Compact"/>
            </w:pPr>
            <w:r>
              <w:t>Survey</w:t>
            </w:r>
          </w:p>
        </w:tc>
        <w:tc>
          <w:tcPr>
            <w:tcW w:w="0" w:type="auto"/>
          </w:tcPr>
          <w:p w14:paraId="25729DFE" w14:textId="77777777" w:rsidR="008905CC" w:rsidRDefault="007C3620">
            <w:pPr>
              <w:pStyle w:val="Compact"/>
            </w:pPr>
            <w:r>
              <w:t>Yes</w:t>
            </w:r>
          </w:p>
        </w:tc>
        <w:tc>
          <w:tcPr>
            <w:tcW w:w="0" w:type="auto"/>
          </w:tcPr>
          <w:p w14:paraId="3923F117" w14:textId="77777777" w:rsidR="008905CC" w:rsidRDefault="007C3620">
            <w:pPr>
              <w:pStyle w:val="Compact"/>
            </w:pPr>
            <w:r>
              <w:t>No</w:t>
            </w:r>
          </w:p>
        </w:tc>
      </w:tr>
      <w:tr w:rsidR="008905CC" w14:paraId="221A4461" w14:textId="77777777">
        <w:tc>
          <w:tcPr>
            <w:tcW w:w="0" w:type="auto"/>
          </w:tcPr>
          <w:p w14:paraId="0FC0AC99" w14:textId="77777777" w:rsidR="008905CC" w:rsidRDefault="007C3620">
            <w:pPr>
              <w:pStyle w:val="Compact"/>
            </w:pPr>
            <w:r>
              <w:t>SSCQ</w:t>
            </w:r>
          </w:p>
        </w:tc>
        <w:tc>
          <w:tcPr>
            <w:tcW w:w="0" w:type="auto"/>
          </w:tcPr>
          <w:p w14:paraId="6DAA2DB0" w14:textId="77777777" w:rsidR="008905CC" w:rsidRDefault="007C3620">
            <w:pPr>
              <w:pStyle w:val="Compact"/>
            </w:pPr>
            <w:r>
              <w:t>12.8 ± 0.6</w:t>
            </w:r>
          </w:p>
        </w:tc>
        <w:tc>
          <w:tcPr>
            <w:tcW w:w="0" w:type="auto"/>
          </w:tcPr>
          <w:p w14:paraId="34A7BD69" w14:textId="77777777" w:rsidR="008905CC" w:rsidRDefault="007C3620">
            <w:pPr>
              <w:pStyle w:val="Compact"/>
            </w:pPr>
            <w:r>
              <w:t>87.2 ± 0.6</w:t>
            </w:r>
          </w:p>
        </w:tc>
      </w:tr>
      <w:tr w:rsidR="008905CC" w14:paraId="61D5B100" w14:textId="77777777">
        <w:tc>
          <w:tcPr>
            <w:tcW w:w="0" w:type="auto"/>
          </w:tcPr>
          <w:p w14:paraId="64BE11E8" w14:textId="77777777" w:rsidR="008905CC" w:rsidRDefault="007C3620">
            <w:pPr>
              <w:pStyle w:val="Compact"/>
            </w:pPr>
            <w:r>
              <w:t>SCJS</w:t>
            </w:r>
          </w:p>
        </w:tc>
        <w:tc>
          <w:tcPr>
            <w:tcW w:w="0" w:type="auto"/>
          </w:tcPr>
          <w:p w14:paraId="6AC1D4DC" w14:textId="77777777" w:rsidR="008905CC" w:rsidRDefault="007C3620">
            <w:pPr>
              <w:pStyle w:val="Compact"/>
            </w:pPr>
            <w:r>
              <w:t>13.6 ± 1.2</w:t>
            </w:r>
          </w:p>
        </w:tc>
        <w:tc>
          <w:tcPr>
            <w:tcW w:w="0" w:type="auto"/>
          </w:tcPr>
          <w:p w14:paraId="290FE51F" w14:textId="77777777" w:rsidR="008905CC" w:rsidRDefault="007C3620">
            <w:pPr>
              <w:pStyle w:val="Compact"/>
            </w:pPr>
            <w:r>
              <w:t>86.4 ± 1.2</w:t>
            </w:r>
          </w:p>
        </w:tc>
      </w:tr>
      <w:tr w:rsidR="008905CC" w14:paraId="496DA25A" w14:textId="77777777">
        <w:tc>
          <w:tcPr>
            <w:tcW w:w="0" w:type="auto"/>
          </w:tcPr>
          <w:p w14:paraId="5DF42590" w14:textId="77777777" w:rsidR="008905CC" w:rsidRDefault="007C3620">
            <w:pPr>
              <w:pStyle w:val="Compact"/>
            </w:pPr>
            <w:r>
              <w:t>SHeS</w:t>
            </w:r>
          </w:p>
        </w:tc>
        <w:tc>
          <w:tcPr>
            <w:tcW w:w="0" w:type="auto"/>
          </w:tcPr>
          <w:p w14:paraId="7A51F9F9" w14:textId="77777777" w:rsidR="008905CC" w:rsidRDefault="007C3620">
            <w:pPr>
              <w:pStyle w:val="Compact"/>
            </w:pPr>
            <w:r>
              <w:t>13.9 ± 1.3</w:t>
            </w:r>
          </w:p>
        </w:tc>
        <w:tc>
          <w:tcPr>
            <w:tcW w:w="0" w:type="auto"/>
          </w:tcPr>
          <w:p w14:paraId="35EFBE8B" w14:textId="77777777" w:rsidR="008905CC" w:rsidRDefault="007C3620">
            <w:pPr>
              <w:pStyle w:val="Compact"/>
            </w:pPr>
            <w:r>
              <w:t>86.1 ± 1.3</w:t>
            </w:r>
          </w:p>
        </w:tc>
      </w:tr>
      <w:tr w:rsidR="008905CC" w14:paraId="45693A5A" w14:textId="77777777">
        <w:tc>
          <w:tcPr>
            <w:tcW w:w="0" w:type="auto"/>
          </w:tcPr>
          <w:p w14:paraId="0DFA37F5" w14:textId="77777777" w:rsidR="008905CC" w:rsidRDefault="007C3620">
            <w:pPr>
              <w:pStyle w:val="Compact"/>
            </w:pPr>
            <w:r>
              <w:t>SHS</w:t>
            </w:r>
          </w:p>
        </w:tc>
        <w:tc>
          <w:tcPr>
            <w:tcW w:w="0" w:type="auto"/>
          </w:tcPr>
          <w:p w14:paraId="53415CA3" w14:textId="77777777" w:rsidR="008905CC" w:rsidRDefault="007C3620">
            <w:pPr>
              <w:pStyle w:val="Compact"/>
            </w:pPr>
            <w:r>
              <w:t>12.1 ± 0.8</w:t>
            </w:r>
          </w:p>
        </w:tc>
        <w:tc>
          <w:tcPr>
            <w:tcW w:w="0" w:type="auto"/>
          </w:tcPr>
          <w:p w14:paraId="0D8BC09F" w14:textId="77777777" w:rsidR="008905CC" w:rsidRDefault="007C3620">
            <w:pPr>
              <w:pStyle w:val="Compact"/>
            </w:pPr>
            <w:r>
              <w:t>87.9 ± 0.8</w:t>
            </w:r>
          </w:p>
        </w:tc>
      </w:tr>
    </w:tbl>
    <w:p w14:paraId="70F05713" w14:textId="77777777" w:rsidR="008905CC" w:rsidRDefault="007C3620">
      <w:pPr>
        <w:pStyle w:val="Heading2"/>
      </w:pPr>
      <w:bookmarkStart w:id="19" w:name="X588f45ed9358467e57e3d17d2e52f3d583895ea"/>
      <w:bookmarkEnd w:id="18"/>
      <w:r>
        <w:lastRenderedPageBreak/>
        <w:t>Table A.3: Long-term limiting health condition by source survey (row % and margin of error)</w:t>
      </w:r>
    </w:p>
    <w:tbl>
      <w:tblPr>
        <w:tblStyle w:val="Table"/>
        <w:tblW w:w="5000" w:type="pct"/>
        <w:tblLayout w:type="fixed"/>
        <w:tblLook w:val="0020" w:firstRow="1" w:lastRow="0" w:firstColumn="0" w:lastColumn="0" w:noHBand="0" w:noVBand="0"/>
      </w:tblPr>
      <w:tblGrid>
        <w:gridCol w:w="770"/>
        <w:gridCol w:w="4183"/>
        <w:gridCol w:w="4623"/>
      </w:tblGrid>
      <w:tr w:rsidR="008905CC" w14:paraId="222B2A76"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637" w:type="dxa"/>
          </w:tcPr>
          <w:p w14:paraId="4F495F93" w14:textId="77777777" w:rsidR="008905CC" w:rsidRDefault="007C3620">
            <w:pPr>
              <w:pStyle w:val="Compact"/>
            </w:pPr>
            <w:r>
              <w:t>Survey</w:t>
            </w:r>
          </w:p>
        </w:tc>
        <w:tc>
          <w:tcPr>
            <w:tcW w:w="3459" w:type="dxa"/>
          </w:tcPr>
          <w:p w14:paraId="4CE464FD" w14:textId="77777777" w:rsidR="008905CC" w:rsidRDefault="007C3620">
            <w:pPr>
              <w:pStyle w:val="Compact"/>
            </w:pPr>
            <w:r>
              <w:t>Condition and limits a little or lots</w:t>
            </w:r>
          </w:p>
        </w:tc>
        <w:tc>
          <w:tcPr>
            <w:tcW w:w="3823" w:type="dxa"/>
          </w:tcPr>
          <w:p w14:paraId="71032EE6" w14:textId="77777777" w:rsidR="008905CC" w:rsidRDefault="007C3620">
            <w:pPr>
              <w:pStyle w:val="Compact"/>
            </w:pPr>
            <w:r>
              <w:t>No condition/condition that doesn’t limit</w:t>
            </w:r>
          </w:p>
        </w:tc>
      </w:tr>
      <w:tr w:rsidR="008905CC" w14:paraId="0DEAC3CB" w14:textId="77777777">
        <w:tc>
          <w:tcPr>
            <w:tcW w:w="637" w:type="dxa"/>
          </w:tcPr>
          <w:p w14:paraId="6D08C2E9" w14:textId="77777777" w:rsidR="008905CC" w:rsidRDefault="007C3620">
            <w:pPr>
              <w:pStyle w:val="Compact"/>
            </w:pPr>
            <w:r>
              <w:t>SSCQ</w:t>
            </w:r>
          </w:p>
        </w:tc>
        <w:tc>
          <w:tcPr>
            <w:tcW w:w="3459" w:type="dxa"/>
          </w:tcPr>
          <w:p w14:paraId="042A60E1" w14:textId="77777777" w:rsidR="008905CC" w:rsidRDefault="007C3620">
            <w:pPr>
              <w:pStyle w:val="Compact"/>
            </w:pPr>
            <w:r>
              <w:t>28.2 ± 0.8</w:t>
            </w:r>
          </w:p>
        </w:tc>
        <w:tc>
          <w:tcPr>
            <w:tcW w:w="3823" w:type="dxa"/>
          </w:tcPr>
          <w:p w14:paraId="68D35181" w14:textId="77777777" w:rsidR="008905CC" w:rsidRDefault="007C3620">
            <w:pPr>
              <w:pStyle w:val="Compact"/>
            </w:pPr>
            <w:r>
              <w:t>71.8 ± 0.8</w:t>
            </w:r>
          </w:p>
        </w:tc>
      </w:tr>
      <w:tr w:rsidR="008905CC" w14:paraId="6C250610" w14:textId="77777777">
        <w:tc>
          <w:tcPr>
            <w:tcW w:w="637" w:type="dxa"/>
          </w:tcPr>
          <w:p w14:paraId="0265F4E1" w14:textId="77777777" w:rsidR="008905CC" w:rsidRDefault="007C3620">
            <w:pPr>
              <w:pStyle w:val="Compact"/>
            </w:pPr>
            <w:r>
              <w:t>SCJS</w:t>
            </w:r>
          </w:p>
        </w:tc>
        <w:tc>
          <w:tcPr>
            <w:tcW w:w="3459" w:type="dxa"/>
          </w:tcPr>
          <w:p w14:paraId="1C6FFCB6" w14:textId="77777777" w:rsidR="008905CC" w:rsidRDefault="007C3620">
            <w:pPr>
              <w:pStyle w:val="Compact"/>
            </w:pPr>
            <w:r>
              <w:t>25.9 ± 1.5</w:t>
            </w:r>
          </w:p>
        </w:tc>
        <w:tc>
          <w:tcPr>
            <w:tcW w:w="3823" w:type="dxa"/>
          </w:tcPr>
          <w:p w14:paraId="0F3E829A" w14:textId="77777777" w:rsidR="008905CC" w:rsidRDefault="007C3620">
            <w:pPr>
              <w:pStyle w:val="Compact"/>
            </w:pPr>
            <w:r>
              <w:t>74.1 ± 1.5</w:t>
            </w:r>
          </w:p>
        </w:tc>
      </w:tr>
      <w:tr w:rsidR="008905CC" w14:paraId="6C9114E5" w14:textId="77777777">
        <w:tc>
          <w:tcPr>
            <w:tcW w:w="637" w:type="dxa"/>
          </w:tcPr>
          <w:p w14:paraId="636695E3" w14:textId="77777777" w:rsidR="008905CC" w:rsidRDefault="007C3620">
            <w:pPr>
              <w:pStyle w:val="Compact"/>
            </w:pPr>
            <w:r>
              <w:t>SHeS</w:t>
            </w:r>
          </w:p>
        </w:tc>
        <w:tc>
          <w:tcPr>
            <w:tcW w:w="3459" w:type="dxa"/>
          </w:tcPr>
          <w:p w14:paraId="71910BE4" w14:textId="77777777" w:rsidR="008905CC" w:rsidRDefault="007C3620">
            <w:pPr>
              <w:pStyle w:val="Compact"/>
            </w:pPr>
            <w:r>
              <w:t>37.7 ± 2</w:t>
            </w:r>
          </w:p>
        </w:tc>
        <w:tc>
          <w:tcPr>
            <w:tcW w:w="3823" w:type="dxa"/>
          </w:tcPr>
          <w:p w14:paraId="64820F47" w14:textId="77777777" w:rsidR="008905CC" w:rsidRDefault="007C3620">
            <w:pPr>
              <w:pStyle w:val="Compact"/>
            </w:pPr>
            <w:r>
              <w:t>62.3 ± 2</w:t>
            </w:r>
          </w:p>
        </w:tc>
      </w:tr>
      <w:tr w:rsidR="008905CC" w14:paraId="0D5DF356" w14:textId="77777777">
        <w:tc>
          <w:tcPr>
            <w:tcW w:w="637" w:type="dxa"/>
          </w:tcPr>
          <w:p w14:paraId="14DB89EF" w14:textId="77777777" w:rsidR="008905CC" w:rsidRDefault="007C3620">
            <w:pPr>
              <w:pStyle w:val="Compact"/>
            </w:pPr>
            <w:r>
              <w:t>SHS</w:t>
            </w:r>
          </w:p>
        </w:tc>
        <w:tc>
          <w:tcPr>
            <w:tcW w:w="3459" w:type="dxa"/>
          </w:tcPr>
          <w:p w14:paraId="4547494D" w14:textId="77777777" w:rsidR="008905CC" w:rsidRDefault="007C3620">
            <w:pPr>
              <w:pStyle w:val="Compact"/>
            </w:pPr>
            <w:r>
              <w:t>26 ± 1</w:t>
            </w:r>
          </w:p>
        </w:tc>
        <w:tc>
          <w:tcPr>
            <w:tcW w:w="3823" w:type="dxa"/>
          </w:tcPr>
          <w:p w14:paraId="5AD3E0A5" w14:textId="77777777" w:rsidR="008905CC" w:rsidRDefault="007C3620">
            <w:pPr>
              <w:pStyle w:val="Compact"/>
            </w:pPr>
            <w:r>
              <w:t>74 ± 1</w:t>
            </w:r>
          </w:p>
        </w:tc>
      </w:tr>
    </w:tbl>
    <w:p w14:paraId="684CD21A" w14:textId="77777777" w:rsidR="008905CC" w:rsidRDefault="007C3620">
      <w:pPr>
        <w:pStyle w:val="Heading2"/>
      </w:pPr>
      <w:bookmarkStart w:id="20" w:name="X0a52bc4b409d981d6f8f1dd69be1e2a1faddf3c"/>
      <w:bookmarkEnd w:id="19"/>
      <w:r>
        <w:t>Table A.4: Provides unpaid care by source survey (row % and margin of error)</w:t>
      </w:r>
    </w:p>
    <w:tbl>
      <w:tblPr>
        <w:tblStyle w:val="Table"/>
        <w:tblW w:w="0" w:type="auto"/>
        <w:tblLook w:val="0020" w:firstRow="1" w:lastRow="0" w:firstColumn="0" w:lastColumn="0" w:noHBand="0" w:noVBand="0"/>
      </w:tblPr>
      <w:tblGrid>
        <w:gridCol w:w="910"/>
        <w:gridCol w:w="2875"/>
        <w:gridCol w:w="3521"/>
      </w:tblGrid>
      <w:tr w:rsidR="008905CC" w14:paraId="03E7F3BA"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6625218F" w14:textId="77777777" w:rsidR="008905CC" w:rsidRDefault="007C3620">
            <w:pPr>
              <w:pStyle w:val="Compact"/>
            </w:pPr>
            <w:r>
              <w:t>Survey</w:t>
            </w:r>
          </w:p>
        </w:tc>
        <w:tc>
          <w:tcPr>
            <w:tcW w:w="0" w:type="auto"/>
          </w:tcPr>
          <w:p w14:paraId="39855D4A" w14:textId="77777777" w:rsidR="008905CC" w:rsidRDefault="007C3620">
            <w:pPr>
              <w:pStyle w:val="Compact"/>
            </w:pPr>
            <w:r>
              <w:t>Yes, provides unpaid care</w:t>
            </w:r>
          </w:p>
        </w:tc>
        <w:tc>
          <w:tcPr>
            <w:tcW w:w="0" w:type="auto"/>
          </w:tcPr>
          <w:p w14:paraId="4C58C0C4" w14:textId="77777777" w:rsidR="008905CC" w:rsidRDefault="007C3620">
            <w:pPr>
              <w:pStyle w:val="Compact"/>
            </w:pPr>
            <w:r>
              <w:t>No, doesn’t provide unpaid care</w:t>
            </w:r>
          </w:p>
        </w:tc>
      </w:tr>
      <w:tr w:rsidR="008905CC" w14:paraId="7E341238" w14:textId="77777777">
        <w:tc>
          <w:tcPr>
            <w:tcW w:w="0" w:type="auto"/>
          </w:tcPr>
          <w:p w14:paraId="747DD5D9" w14:textId="77777777" w:rsidR="008905CC" w:rsidRDefault="007C3620">
            <w:pPr>
              <w:pStyle w:val="Compact"/>
            </w:pPr>
            <w:r>
              <w:t>SSCQ</w:t>
            </w:r>
          </w:p>
        </w:tc>
        <w:tc>
          <w:tcPr>
            <w:tcW w:w="0" w:type="auto"/>
          </w:tcPr>
          <w:p w14:paraId="1A81D747" w14:textId="77777777" w:rsidR="008905CC" w:rsidRDefault="007C3620">
            <w:pPr>
              <w:pStyle w:val="Compact"/>
            </w:pPr>
            <w:r>
              <w:t>16 ± 0.6</w:t>
            </w:r>
          </w:p>
        </w:tc>
        <w:tc>
          <w:tcPr>
            <w:tcW w:w="0" w:type="auto"/>
          </w:tcPr>
          <w:p w14:paraId="022C7293" w14:textId="77777777" w:rsidR="008905CC" w:rsidRDefault="007C3620">
            <w:pPr>
              <w:pStyle w:val="Compact"/>
            </w:pPr>
            <w:r>
              <w:t>84 ± 0.6</w:t>
            </w:r>
          </w:p>
        </w:tc>
      </w:tr>
      <w:tr w:rsidR="008905CC" w14:paraId="145C72F2" w14:textId="77777777">
        <w:tc>
          <w:tcPr>
            <w:tcW w:w="0" w:type="auto"/>
          </w:tcPr>
          <w:p w14:paraId="2EABDD9E" w14:textId="77777777" w:rsidR="008905CC" w:rsidRDefault="007C3620">
            <w:pPr>
              <w:pStyle w:val="Compact"/>
            </w:pPr>
            <w:r>
              <w:t>SCJS</w:t>
            </w:r>
          </w:p>
        </w:tc>
        <w:tc>
          <w:tcPr>
            <w:tcW w:w="0" w:type="auto"/>
          </w:tcPr>
          <w:p w14:paraId="1261B6C4" w14:textId="77777777" w:rsidR="008905CC" w:rsidRDefault="007C3620">
            <w:pPr>
              <w:pStyle w:val="Compact"/>
            </w:pPr>
            <w:r>
              <w:t>17 ± 1.2</w:t>
            </w:r>
          </w:p>
        </w:tc>
        <w:tc>
          <w:tcPr>
            <w:tcW w:w="0" w:type="auto"/>
          </w:tcPr>
          <w:p w14:paraId="49AD31CD" w14:textId="77777777" w:rsidR="008905CC" w:rsidRDefault="007C3620">
            <w:pPr>
              <w:pStyle w:val="Compact"/>
            </w:pPr>
            <w:r>
              <w:t>83 ± 1.2</w:t>
            </w:r>
          </w:p>
        </w:tc>
      </w:tr>
      <w:tr w:rsidR="008905CC" w14:paraId="44B3B9B0" w14:textId="77777777">
        <w:tc>
          <w:tcPr>
            <w:tcW w:w="0" w:type="auto"/>
          </w:tcPr>
          <w:p w14:paraId="39B26FDA" w14:textId="77777777" w:rsidR="008905CC" w:rsidRDefault="007C3620">
            <w:pPr>
              <w:pStyle w:val="Compact"/>
            </w:pPr>
            <w:r>
              <w:t>SHeS</w:t>
            </w:r>
          </w:p>
        </w:tc>
        <w:tc>
          <w:tcPr>
            <w:tcW w:w="0" w:type="auto"/>
          </w:tcPr>
          <w:p w14:paraId="0D79D20B" w14:textId="77777777" w:rsidR="008905CC" w:rsidRDefault="007C3620">
            <w:pPr>
              <w:pStyle w:val="Compact"/>
            </w:pPr>
            <w:r>
              <w:t>15.5 ± 1.5</w:t>
            </w:r>
          </w:p>
        </w:tc>
        <w:tc>
          <w:tcPr>
            <w:tcW w:w="0" w:type="auto"/>
          </w:tcPr>
          <w:p w14:paraId="157BAD4A" w14:textId="77777777" w:rsidR="008905CC" w:rsidRDefault="007C3620">
            <w:pPr>
              <w:pStyle w:val="Compact"/>
            </w:pPr>
            <w:r>
              <w:t>84.5 ± 1.5</w:t>
            </w:r>
          </w:p>
        </w:tc>
      </w:tr>
      <w:tr w:rsidR="008905CC" w14:paraId="6E7164EA" w14:textId="77777777">
        <w:tc>
          <w:tcPr>
            <w:tcW w:w="0" w:type="auto"/>
          </w:tcPr>
          <w:p w14:paraId="3DE76B8E" w14:textId="77777777" w:rsidR="008905CC" w:rsidRDefault="007C3620">
            <w:pPr>
              <w:pStyle w:val="Compact"/>
            </w:pPr>
            <w:r>
              <w:t>SHS</w:t>
            </w:r>
          </w:p>
        </w:tc>
        <w:tc>
          <w:tcPr>
            <w:tcW w:w="0" w:type="auto"/>
          </w:tcPr>
          <w:p w14:paraId="7215FF86" w14:textId="77777777" w:rsidR="008905CC" w:rsidRDefault="007C3620">
            <w:pPr>
              <w:pStyle w:val="Compact"/>
            </w:pPr>
            <w:r>
              <w:t>15.6 ± 0.8</w:t>
            </w:r>
          </w:p>
        </w:tc>
        <w:tc>
          <w:tcPr>
            <w:tcW w:w="0" w:type="auto"/>
          </w:tcPr>
          <w:p w14:paraId="50F8A8D2" w14:textId="77777777" w:rsidR="008905CC" w:rsidRDefault="007C3620">
            <w:pPr>
              <w:pStyle w:val="Compact"/>
            </w:pPr>
            <w:r>
              <w:t>84.4 ± 0.8</w:t>
            </w:r>
          </w:p>
        </w:tc>
      </w:tr>
    </w:tbl>
    <w:p w14:paraId="0F39630A" w14:textId="77777777" w:rsidR="008905CC" w:rsidRDefault="007C3620">
      <w:pPr>
        <w:pStyle w:val="Heading2"/>
      </w:pPr>
      <w:bookmarkStart w:id="21" w:name="X4939dc0ed328ce316a596f1eeb5eb3fad63f6e8"/>
      <w:bookmarkEnd w:id="20"/>
      <w:r>
        <w:t>Table A.5: Average mental wellbeing score by source survey (row average and margin of error)</w:t>
      </w:r>
    </w:p>
    <w:tbl>
      <w:tblPr>
        <w:tblStyle w:val="Table"/>
        <w:tblW w:w="0" w:type="auto"/>
        <w:tblLook w:val="0020" w:firstRow="1" w:lastRow="0" w:firstColumn="0" w:lastColumn="0" w:noHBand="0" w:noVBand="0"/>
      </w:tblPr>
      <w:tblGrid>
        <w:gridCol w:w="910"/>
        <w:gridCol w:w="3539"/>
      </w:tblGrid>
      <w:tr w:rsidR="008905CC" w14:paraId="69C8238E"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27993E31" w14:textId="77777777" w:rsidR="008905CC" w:rsidRDefault="007C3620">
            <w:pPr>
              <w:pStyle w:val="Compact"/>
            </w:pPr>
            <w:r>
              <w:t>Survey</w:t>
            </w:r>
          </w:p>
        </w:tc>
        <w:tc>
          <w:tcPr>
            <w:tcW w:w="0" w:type="auto"/>
          </w:tcPr>
          <w:p w14:paraId="3CF3A32F" w14:textId="77777777" w:rsidR="008905CC" w:rsidRDefault="007C3620">
            <w:pPr>
              <w:pStyle w:val="Compact"/>
            </w:pPr>
            <w:r>
              <w:t>Average Mental Wellbeing Score</w:t>
            </w:r>
          </w:p>
        </w:tc>
      </w:tr>
      <w:tr w:rsidR="008905CC" w14:paraId="072A8BDB" w14:textId="77777777">
        <w:tc>
          <w:tcPr>
            <w:tcW w:w="0" w:type="auto"/>
          </w:tcPr>
          <w:p w14:paraId="3E08E47D" w14:textId="77777777" w:rsidR="008905CC" w:rsidRDefault="007C3620">
            <w:pPr>
              <w:pStyle w:val="Compact"/>
            </w:pPr>
            <w:r>
              <w:t>SSCQ</w:t>
            </w:r>
          </w:p>
        </w:tc>
        <w:tc>
          <w:tcPr>
            <w:tcW w:w="0" w:type="auto"/>
          </w:tcPr>
          <w:p w14:paraId="76326A72" w14:textId="77777777" w:rsidR="008905CC" w:rsidRDefault="007C3620">
            <w:pPr>
              <w:pStyle w:val="Compact"/>
            </w:pPr>
            <w:r>
              <w:t>24.4 ± 0.1</w:t>
            </w:r>
          </w:p>
        </w:tc>
      </w:tr>
      <w:tr w:rsidR="008905CC" w14:paraId="766F45A1" w14:textId="77777777">
        <w:tc>
          <w:tcPr>
            <w:tcW w:w="0" w:type="auto"/>
          </w:tcPr>
          <w:p w14:paraId="06440E87" w14:textId="77777777" w:rsidR="008905CC" w:rsidRDefault="007C3620">
            <w:pPr>
              <w:pStyle w:val="Compact"/>
            </w:pPr>
            <w:r>
              <w:t>SCJS</w:t>
            </w:r>
          </w:p>
        </w:tc>
        <w:tc>
          <w:tcPr>
            <w:tcW w:w="0" w:type="auto"/>
          </w:tcPr>
          <w:p w14:paraId="7BEE0CD5" w14:textId="77777777" w:rsidR="008905CC" w:rsidRDefault="007C3620">
            <w:pPr>
              <w:pStyle w:val="Compact"/>
            </w:pPr>
            <w:r>
              <w:t>24.5 ± 0.1</w:t>
            </w:r>
          </w:p>
        </w:tc>
      </w:tr>
      <w:tr w:rsidR="008905CC" w14:paraId="2A9E2E00" w14:textId="77777777">
        <w:tc>
          <w:tcPr>
            <w:tcW w:w="0" w:type="auto"/>
          </w:tcPr>
          <w:p w14:paraId="25CF343D" w14:textId="77777777" w:rsidR="008905CC" w:rsidRDefault="007C3620">
            <w:pPr>
              <w:pStyle w:val="Compact"/>
            </w:pPr>
            <w:r>
              <w:t>SHeS</w:t>
            </w:r>
          </w:p>
        </w:tc>
        <w:tc>
          <w:tcPr>
            <w:tcW w:w="0" w:type="auto"/>
          </w:tcPr>
          <w:p w14:paraId="1913E0A7" w14:textId="77777777" w:rsidR="008905CC" w:rsidRDefault="007C3620">
            <w:pPr>
              <w:pStyle w:val="Compact"/>
            </w:pPr>
            <w:r>
              <w:t>22.8 ± 0.2</w:t>
            </w:r>
          </w:p>
        </w:tc>
      </w:tr>
      <w:tr w:rsidR="008905CC" w14:paraId="622EAC0E" w14:textId="77777777">
        <w:tc>
          <w:tcPr>
            <w:tcW w:w="0" w:type="auto"/>
          </w:tcPr>
          <w:p w14:paraId="11578CD8" w14:textId="77777777" w:rsidR="008905CC" w:rsidRDefault="007C3620">
            <w:pPr>
              <w:pStyle w:val="Compact"/>
            </w:pPr>
            <w:r>
              <w:t>SHS</w:t>
            </w:r>
          </w:p>
        </w:tc>
        <w:tc>
          <w:tcPr>
            <w:tcW w:w="0" w:type="auto"/>
          </w:tcPr>
          <w:p w14:paraId="66C301F3" w14:textId="77777777" w:rsidR="008905CC" w:rsidRDefault="007C3620">
            <w:pPr>
              <w:pStyle w:val="Compact"/>
            </w:pPr>
            <w:r>
              <w:t>24.6 ± 0.1</w:t>
            </w:r>
          </w:p>
        </w:tc>
      </w:tr>
    </w:tbl>
    <w:p w14:paraId="338B7AB1" w14:textId="77777777" w:rsidR="008905CC" w:rsidRDefault="007C3620">
      <w:pPr>
        <w:pStyle w:val="Heading2"/>
      </w:pPr>
      <w:bookmarkStart w:id="22" w:name="Xe50c31bc5f0759ef911e561dc21d79900c45029"/>
      <w:bookmarkEnd w:id="21"/>
      <w:r>
        <w:t>Table A.6: Veteran status by source survey (row % and margin of error)</w:t>
      </w:r>
    </w:p>
    <w:tbl>
      <w:tblPr>
        <w:tblStyle w:val="Table"/>
        <w:tblW w:w="0" w:type="auto"/>
        <w:tblLook w:val="0020" w:firstRow="1" w:lastRow="0" w:firstColumn="0" w:lastColumn="0" w:noHBand="0" w:noVBand="0"/>
      </w:tblPr>
      <w:tblGrid>
        <w:gridCol w:w="910"/>
        <w:gridCol w:w="3441"/>
        <w:gridCol w:w="2837"/>
      </w:tblGrid>
      <w:tr w:rsidR="008905CC" w14:paraId="6B8F4E1E"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08EE9778" w14:textId="77777777" w:rsidR="008905CC" w:rsidRDefault="007C3620">
            <w:pPr>
              <w:pStyle w:val="Compact"/>
            </w:pPr>
            <w:r>
              <w:t>Survey</w:t>
            </w:r>
          </w:p>
        </w:tc>
        <w:tc>
          <w:tcPr>
            <w:tcW w:w="0" w:type="auto"/>
          </w:tcPr>
          <w:p w14:paraId="44358ECA" w14:textId="77777777" w:rsidR="008905CC" w:rsidRDefault="007C3620">
            <w:pPr>
              <w:pStyle w:val="Compact"/>
            </w:pPr>
            <w:r>
              <w:t>Not a UK Armed Forces veteran</w:t>
            </w:r>
          </w:p>
        </w:tc>
        <w:tc>
          <w:tcPr>
            <w:tcW w:w="0" w:type="auto"/>
          </w:tcPr>
          <w:p w14:paraId="55B3BE10" w14:textId="77777777" w:rsidR="008905CC" w:rsidRDefault="007C3620">
            <w:pPr>
              <w:pStyle w:val="Compact"/>
            </w:pPr>
            <w:r>
              <w:t>UK Armed Forces veteran</w:t>
            </w:r>
          </w:p>
        </w:tc>
      </w:tr>
      <w:tr w:rsidR="008905CC" w14:paraId="20FAB793" w14:textId="77777777">
        <w:tc>
          <w:tcPr>
            <w:tcW w:w="0" w:type="auto"/>
          </w:tcPr>
          <w:p w14:paraId="73B4BAB9" w14:textId="77777777" w:rsidR="008905CC" w:rsidRDefault="007C3620">
            <w:pPr>
              <w:pStyle w:val="Compact"/>
            </w:pPr>
            <w:r>
              <w:t>SSCQ</w:t>
            </w:r>
          </w:p>
        </w:tc>
        <w:tc>
          <w:tcPr>
            <w:tcW w:w="0" w:type="auto"/>
          </w:tcPr>
          <w:p w14:paraId="776C45B6" w14:textId="77777777" w:rsidR="008905CC" w:rsidRDefault="007C3620">
            <w:pPr>
              <w:pStyle w:val="Compact"/>
            </w:pPr>
            <w:r>
              <w:t>96.2 ± 0.3</w:t>
            </w:r>
          </w:p>
        </w:tc>
        <w:tc>
          <w:tcPr>
            <w:tcW w:w="0" w:type="auto"/>
          </w:tcPr>
          <w:p w14:paraId="0FBB56B9" w14:textId="77777777" w:rsidR="008905CC" w:rsidRDefault="007C3620">
            <w:pPr>
              <w:pStyle w:val="Compact"/>
            </w:pPr>
            <w:r>
              <w:t>3.8 ± 0.3</w:t>
            </w:r>
          </w:p>
        </w:tc>
      </w:tr>
      <w:tr w:rsidR="008905CC" w14:paraId="7116C409" w14:textId="77777777">
        <w:tc>
          <w:tcPr>
            <w:tcW w:w="0" w:type="auto"/>
          </w:tcPr>
          <w:p w14:paraId="4D613700" w14:textId="77777777" w:rsidR="008905CC" w:rsidRDefault="007C3620">
            <w:pPr>
              <w:pStyle w:val="Compact"/>
            </w:pPr>
            <w:r>
              <w:t>SCJS</w:t>
            </w:r>
          </w:p>
        </w:tc>
        <w:tc>
          <w:tcPr>
            <w:tcW w:w="0" w:type="auto"/>
          </w:tcPr>
          <w:p w14:paraId="2587E879" w14:textId="77777777" w:rsidR="008905CC" w:rsidRDefault="007C3620">
            <w:pPr>
              <w:pStyle w:val="Compact"/>
            </w:pPr>
            <w:r>
              <w:t>96.1 ± 0.6</w:t>
            </w:r>
          </w:p>
        </w:tc>
        <w:tc>
          <w:tcPr>
            <w:tcW w:w="0" w:type="auto"/>
          </w:tcPr>
          <w:p w14:paraId="69EE2BE4" w14:textId="77777777" w:rsidR="008905CC" w:rsidRDefault="007C3620">
            <w:pPr>
              <w:pStyle w:val="Compact"/>
            </w:pPr>
            <w:r>
              <w:t>3.9 ± 0.6</w:t>
            </w:r>
          </w:p>
        </w:tc>
      </w:tr>
      <w:tr w:rsidR="008905CC" w14:paraId="6E81FD7D" w14:textId="77777777">
        <w:tc>
          <w:tcPr>
            <w:tcW w:w="0" w:type="auto"/>
          </w:tcPr>
          <w:p w14:paraId="116B70ED" w14:textId="77777777" w:rsidR="008905CC" w:rsidRDefault="007C3620">
            <w:pPr>
              <w:pStyle w:val="Compact"/>
            </w:pPr>
            <w:r>
              <w:t>SHeS</w:t>
            </w:r>
          </w:p>
        </w:tc>
        <w:tc>
          <w:tcPr>
            <w:tcW w:w="0" w:type="auto"/>
          </w:tcPr>
          <w:p w14:paraId="61D7FE0D" w14:textId="77777777" w:rsidR="008905CC" w:rsidRDefault="007C3620">
            <w:pPr>
              <w:pStyle w:val="Compact"/>
            </w:pPr>
            <w:r>
              <w:t>95.6 ± 0.9</w:t>
            </w:r>
          </w:p>
        </w:tc>
        <w:tc>
          <w:tcPr>
            <w:tcW w:w="0" w:type="auto"/>
          </w:tcPr>
          <w:p w14:paraId="363A1D47" w14:textId="77777777" w:rsidR="008905CC" w:rsidRDefault="007C3620">
            <w:pPr>
              <w:pStyle w:val="Compact"/>
            </w:pPr>
            <w:r>
              <w:t>4.4 ± 0.9</w:t>
            </w:r>
          </w:p>
        </w:tc>
      </w:tr>
      <w:tr w:rsidR="008905CC" w14:paraId="55C043F0" w14:textId="77777777">
        <w:tc>
          <w:tcPr>
            <w:tcW w:w="0" w:type="auto"/>
          </w:tcPr>
          <w:p w14:paraId="0BE6964E" w14:textId="77777777" w:rsidR="008905CC" w:rsidRDefault="007C3620">
            <w:pPr>
              <w:pStyle w:val="Compact"/>
            </w:pPr>
            <w:r>
              <w:t>SHS</w:t>
            </w:r>
          </w:p>
        </w:tc>
        <w:tc>
          <w:tcPr>
            <w:tcW w:w="0" w:type="auto"/>
          </w:tcPr>
          <w:p w14:paraId="2820E569" w14:textId="77777777" w:rsidR="008905CC" w:rsidRDefault="007C3620">
            <w:pPr>
              <w:pStyle w:val="Compact"/>
            </w:pPr>
            <w:r>
              <w:t>96.4 ± 0.4</w:t>
            </w:r>
          </w:p>
        </w:tc>
        <w:tc>
          <w:tcPr>
            <w:tcW w:w="0" w:type="auto"/>
          </w:tcPr>
          <w:p w14:paraId="110DB408" w14:textId="77777777" w:rsidR="008905CC" w:rsidRDefault="007C3620">
            <w:pPr>
              <w:pStyle w:val="Compact"/>
            </w:pPr>
            <w:r>
              <w:t>3.6 ± 0.4</w:t>
            </w:r>
          </w:p>
        </w:tc>
      </w:tr>
    </w:tbl>
    <w:p w14:paraId="4BFB2E65" w14:textId="77777777" w:rsidR="008905CC" w:rsidRDefault="007C3620">
      <w:pPr>
        <w:pStyle w:val="Heading2"/>
      </w:pPr>
      <w:bookmarkStart w:id="23" w:name="Xbd575e25c2428769c7e958ff6637dfec1ddfa99"/>
      <w:bookmarkEnd w:id="22"/>
      <w:r>
        <w:lastRenderedPageBreak/>
        <w:t>Table A.7: Sexual orientation by source survey (row % and margin of error)</w:t>
      </w:r>
    </w:p>
    <w:tbl>
      <w:tblPr>
        <w:tblStyle w:val="Table"/>
        <w:tblW w:w="0" w:type="auto"/>
        <w:tblLook w:val="0020" w:firstRow="1" w:lastRow="0" w:firstColumn="0" w:lastColumn="0" w:noHBand="0" w:noVBand="0"/>
      </w:tblPr>
      <w:tblGrid>
        <w:gridCol w:w="910"/>
        <w:gridCol w:w="1603"/>
        <w:gridCol w:w="1092"/>
      </w:tblGrid>
      <w:tr w:rsidR="008905CC" w14:paraId="15480F86"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0" w:type="auto"/>
          </w:tcPr>
          <w:p w14:paraId="7E2FBB38" w14:textId="77777777" w:rsidR="008905CC" w:rsidRDefault="007C3620">
            <w:pPr>
              <w:pStyle w:val="Compact"/>
            </w:pPr>
            <w:r>
              <w:t>Survey</w:t>
            </w:r>
          </w:p>
        </w:tc>
        <w:tc>
          <w:tcPr>
            <w:tcW w:w="0" w:type="auto"/>
          </w:tcPr>
          <w:p w14:paraId="082E4E14" w14:textId="77777777" w:rsidR="008905CC" w:rsidRDefault="007C3620">
            <w:pPr>
              <w:pStyle w:val="Compact"/>
            </w:pPr>
            <w:r>
              <w:t>Heterosexual</w:t>
            </w:r>
          </w:p>
        </w:tc>
        <w:tc>
          <w:tcPr>
            <w:tcW w:w="0" w:type="auto"/>
          </w:tcPr>
          <w:p w14:paraId="73761D1E" w14:textId="77777777" w:rsidR="008905CC" w:rsidRDefault="007C3620">
            <w:pPr>
              <w:pStyle w:val="Compact"/>
            </w:pPr>
            <w:r>
              <w:t>LGB+</w:t>
            </w:r>
          </w:p>
        </w:tc>
      </w:tr>
      <w:tr w:rsidR="008905CC" w14:paraId="12714BF0" w14:textId="77777777">
        <w:tc>
          <w:tcPr>
            <w:tcW w:w="0" w:type="auto"/>
          </w:tcPr>
          <w:p w14:paraId="08883278" w14:textId="77777777" w:rsidR="008905CC" w:rsidRDefault="007C3620">
            <w:pPr>
              <w:pStyle w:val="Compact"/>
            </w:pPr>
            <w:r>
              <w:t>SSCQ</w:t>
            </w:r>
          </w:p>
        </w:tc>
        <w:tc>
          <w:tcPr>
            <w:tcW w:w="0" w:type="auto"/>
          </w:tcPr>
          <w:p w14:paraId="6C04CE34" w14:textId="77777777" w:rsidR="008905CC" w:rsidRDefault="007C3620">
            <w:pPr>
              <w:pStyle w:val="Compact"/>
            </w:pPr>
            <w:r>
              <w:t>96.3 ± 0.4</w:t>
            </w:r>
          </w:p>
        </w:tc>
        <w:tc>
          <w:tcPr>
            <w:tcW w:w="0" w:type="auto"/>
          </w:tcPr>
          <w:p w14:paraId="0F678BF7" w14:textId="77777777" w:rsidR="008905CC" w:rsidRDefault="007C3620">
            <w:pPr>
              <w:pStyle w:val="Compact"/>
            </w:pPr>
            <w:r>
              <w:t>3.7 ± 0.4</w:t>
            </w:r>
          </w:p>
        </w:tc>
      </w:tr>
      <w:tr w:rsidR="008905CC" w14:paraId="16E4DBFB" w14:textId="77777777">
        <w:tc>
          <w:tcPr>
            <w:tcW w:w="0" w:type="auto"/>
          </w:tcPr>
          <w:p w14:paraId="1F7AFB6C" w14:textId="77777777" w:rsidR="008905CC" w:rsidRDefault="007C3620">
            <w:pPr>
              <w:pStyle w:val="Compact"/>
            </w:pPr>
            <w:r>
              <w:t>SCJS</w:t>
            </w:r>
          </w:p>
        </w:tc>
        <w:tc>
          <w:tcPr>
            <w:tcW w:w="0" w:type="auto"/>
          </w:tcPr>
          <w:p w14:paraId="4C0C31C7" w14:textId="77777777" w:rsidR="008905CC" w:rsidRDefault="007C3620">
            <w:pPr>
              <w:pStyle w:val="Compact"/>
            </w:pPr>
            <w:r>
              <w:t>95.8 ± 0.8</w:t>
            </w:r>
          </w:p>
        </w:tc>
        <w:tc>
          <w:tcPr>
            <w:tcW w:w="0" w:type="auto"/>
          </w:tcPr>
          <w:p w14:paraId="0ADE8D71" w14:textId="77777777" w:rsidR="008905CC" w:rsidRDefault="007C3620">
            <w:pPr>
              <w:pStyle w:val="Compact"/>
            </w:pPr>
            <w:r>
              <w:t>4.2 ± 0.8</w:t>
            </w:r>
          </w:p>
        </w:tc>
      </w:tr>
      <w:tr w:rsidR="008905CC" w14:paraId="69A3E520" w14:textId="77777777">
        <w:tc>
          <w:tcPr>
            <w:tcW w:w="0" w:type="auto"/>
          </w:tcPr>
          <w:p w14:paraId="64D7DAF0" w14:textId="77777777" w:rsidR="008905CC" w:rsidRDefault="007C3620">
            <w:pPr>
              <w:pStyle w:val="Compact"/>
            </w:pPr>
            <w:r>
              <w:t>SHeS</w:t>
            </w:r>
          </w:p>
        </w:tc>
        <w:tc>
          <w:tcPr>
            <w:tcW w:w="0" w:type="auto"/>
          </w:tcPr>
          <w:p w14:paraId="47F71037" w14:textId="77777777" w:rsidR="008905CC" w:rsidRDefault="007C3620">
            <w:pPr>
              <w:pStyle w:val="Compact"/>
            </w:pPr>
            <w:r>
              <w:t>92.5 ± 1.7</w:t>
            </w:r>
          </w:p>
        </w:tc>
        <w:tc>
          <w:tcPr>
            <w:tcW w:w="0" w:type="auto"/>
          </w:tcPr>
          <w:p w14:paraId="6C35DE73" w14:textId="77777777" w:rsidR="008905CC" w:rsidRDefault="007C3620">
            <w:pPr>
              <w:pStyle w:val="Compact"/>
            </w:pPr>
            <w:r>
              <w:t>7.5 ± 1.7</w:t>
            </w:r>
          </w:p>
        </w:tc>
      </w:tr>
      <w:tr w:rsidR="008905CC" w14:paraId="2D9B6F51" w14:textId="77777777">
        <w:tc>
          <w:tcPr>
            <w:tcW w:w="0" w:type="auto"/>
          </w:tcPr>
          <w:p w14:paraId="4F99E680" w14:textId="77777777" w:rsidR="008905CC" w:rsidRDefault="007C3620">
            <w:pPr>
              <w:pStyle w:val="Compact"/>
            </w:pPr>
            <w:r>
              <w:t>SHS</w:t>
            </w:r>
          </w:p>
        </w:tc>
        <w:tc>
          <w:tcPr>
            <w:tcW w:w="0" w:type="auto"/>
          </w:tcPr>
          <w:p w14:paraId="5E2C893A" w14:textId="77777777" w:rsidR="008905CC" w:rsidRDefault="007C3620">
            <w:pPr>
              <w:pStyle w:val="Compact"/>
            </w:pPr>
            <w:r>
              <w:t>97.2 ± 0.4</w:t>
            </w:r>
          </w:p>
        </w:tc>
        <w:tc>
          <w:tcPr>
            <w:tcW w:w="0" w:type="auto"/>
          </w:tcPr>
          <w:p w14:paraId="6D994FE8" w14:textId="77777777" w:rsidR="008905CC" w:rsidRDefault="007C3620">
            <w:pPr>
              <w:pStyle w:val="Compact"/>
            </w:pPr>
            <w:r>
              <w:t>2.8 ± 0.4</w:t>
            </w:r>
          </w:p>
        </w:tc>
      </w:tr>
    </w:tbl>
    <w:p w14:paraId="3F0A4FF7" w14:textId="77777777" w:rsidR="008905CC" w:rsidRDefault="007C3620">
      <w:pPr>
        <w:pStyle w:val="Heading2"/>
      </w:pPr>
      <w:bookmarkStart w:id="24" w:name="X0c40088c041bce0a84dd85cb5aa16b1493c7a0c"/>
      <w:bookmarkEnd w:id="23"/>
      <w:r>
        <w:t>Table A.8: Perception of local crime rate by source survey (row % and margin of error)</w:t>
      </w:r>
    </w:p>
    <w:tbl>
      <w:tblPr>
        <w:tblStyle w:val="Table"/>
        <w:tblW w:w="5000" w:type="pct"/>
        <w:tblLayout w:type="fixed"/>
        <w:tblLook w:val="0020" w:firstRow="1" w:lastRow="0" w:firstColumn="0" w:lastColumn="0" w:noHBand="0" w:noVBand="0"/>
      </w:tblPr>
      <w:tblGrid>
        <w:gridCol w:w="931"/>
        <w:gridCol w:w="1463"/>
        <w:gridCol w:w="1862"/>
        <w:gridCol w:w="1995"/>
        <w:gridCol w:w="1862"/>
        <w:gridCol w:w="1463"/>
      </w:tblGrid>
      <w:tr w:rsidR="008905CC" w14:paraId="7C957554"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70" w:type="dxa"/>
          </w:tcPr>
          <w:p w14:paraId="09AA92E5" w14:textId="77777777" w:rsidR="008905CC" w:rsidRDefault="007C3620">
            <w:pPr>
              <w:pStyle w:val="Compact"/>
            </w:pPr>
            <w:r>
              <w:t>Survey</w:t>
            </w:r>
          </w:p>
        </w:tc>
        <w:tc>
          <w:tcPr>
            <w:tcW w:w="1210" w:type="dxa"/>
          </w:tcPr>
          <w:p w14:paraId="6FD21EB3" w14:textId="77777777" w:rsidR="008905CC" w:rsidRDefault="007C3620">
            <w:pPr>
              <w:pStyle w:val="Compact"/>
            </w:pPr>
            <w:r>
              <w:t>A lot more</w:t>
            </w:r>
          </w:p>
        </w:tc>
        <w:tc>
          <w:tcPr>
            <w:tcW w:w="1540" w:type="dxa"/>
          </w:tcPr>
          <w:p w14:paraId="6AF0AC1D" w14:textId="77777777" w:rsidR="008905CC" w:rsidRDefault="007C3620">
            <w:pPr>
              <w:pStyle w:val="Compact"/>
            </w:pPr>
            <w:r>
              <w:t>A little more</w:t>
            </w:r>
          </w:p>
        </w:tc>
        <w:tc>
          <w:tcPr>
            <w:tcW w:w="1650" w:type="dxa"/>
          </w:tcPr>
          <w:p w14:paraId="2E07D4BD" w14:textId="77777777" w:rsidR="008905CC" w:rsidRDefault="007C3620">
            <w:pPr>
              <w:pStyle w:val="Compact"/>
            </w:pPr>
            <w:r>
              <w:t>About the same</w:t>
            </w:r>
          </w:p>
        </w:tc>
        <w:tc>
          <w:tcPr>
            <w:tcW w:w="1540" w:type="dxa"/>
          </w:tcPr>
          <w:p w14:paraId="7D792867" w14:textId="77777777" w:rsidR="008905CC" w:rsidRDefault="007C3620">
            <w:pPr>
              <w:pStyle w:val="Compact"/>
            </w:pPr>
            <w:r>
              <w:t>A little less</w:t>
            </w:r>
          </w:p>
        </w:tc>
        <w:tc>
          <w:tcPr>
            <w:tcW w:w="1210" w:type="dxa"/>
          </w:tcPr>
          <w:p w14:paraId="2C0FFE24" w14:textId="77777777" w:rsidR="008905CC" w:rsidRDefault="007C3620">
            <w:pPr>
              <w:pStyle w:val="Compact"/>
            </w:pPr>
            <w:r>
              <w:t>A lot less</w:t>
            </w:r>
          </w:p>
        </w:tc>
      </w:tr>
      <w:tr w:rsidR="008905CC" w14:paraId="510F0961" w14:textId="77777777">
        <w:tc>
          <w:tcPr>
            <w:tcW w:w="770" w:type="dxa"/>
          </w:tcPr>
          <w:p w14:paraId="0CC317F2" w14:textId="77777777" w:rsidR="008905CC" w:rsidRDefault="007C3620">
            <w:pPr>
              <w:pStyle w:val="Compact"/>
            </w:pPr>
            <w:r>
              <w:t>SSCQ</w:t>
            </w:r>
          </w:p>
        </w:tc>
        <w:tc>
          <w:tcPr>
            <w:tcW w:w="1210" w:type="dxa"/>
          </w:tcPr>
          <w:p w14:paraId="337A5F47" w14:textId="77777777" w:rsidR="008905CC" w:rsidRDefault="007C3620">
            <w:pPr>
              <w:pStyle w:val="Compact"/>
            </w:pPr>
            <w:r>
              <w:t>4.1 ± 0.4</w:t>
            </w:r>
          </w:p>
        </w:tc>
        <w:tc>
          <w:tcPr>
            <w:tcW w:w="1540" w:type="dxa"/>
          </w:tcPr>
          <w:p w14:paraId="78A601C1" w14:textId="77777777" w:rsidR="008905CC" w:rsidRDefault="007C3620">
            <w:pPr>
              <w:pStyle w:val="Compact"/>
            </w:pPr>
            <w:r>
              <w:t>12.9 ± 0.7</w:t>
            </w:r>
          </w:p>
        </w:tc>
        <w:tc>
          <w:tcPr>
            <w:tcW w:w="1650" w:type="dxa"/>
          </w:tcPr>
          <w:p w14:paraId="139E3696" w14:textId="77777777" w:rsidR="008905CC" w:rsidRDefault="007C3620">
            <w:pPr>
              <w:pStyle w:val="Compact"/>
            </w:pPr>
            <w:r>
              <w:t>59 ± 1</w:t>
            </w:r>
          </w:p>
        </w:tc>
        <w:tc>
          <w:tcPr>
            <w:tcW w:w="1540" w:type="dxa"/>
          </w:tcPr>
          <w:p w14:paraId="37A0DA81" w14:textId="77777777" w:rsidR="008905CC" w:rsidRDefault="007C3620">
            <w:pPr>
              <w:pStyle w:val="Compact"/>
            </w:pPr>
            <w:r>
              <w:t>4.1 ± 0.4</w:t>
            </w:r>
          </w:p>
        </w:tc>
        <w:tc>
          <w:tcPr>
            <w:tcW w:w="1210" w:type="dxa"/>
          </w:tcPr>
          <w:p w14:paraId="30EB61AD" w14:textId="77777777" w:rsidR="008905CC" w:rsidRDefault="007C3620">
            <w:pPr>
              <w:pStyle w:val="Compact"/>
            </w:pPr>
            <w:r>
              <w:t>0.5 ± 0.1</w:t>
            </w:r>
          </w:p>
        </w:tc>
      </w:tr>
      <w:tr w:rsidR="008905CC" w14:paraId="613C8AE3" w14:textId="77777777">
        <w:tc>
          <w:tcPr>
            <w:tcW w:w="770" w:type="dxa"/>
          </w:tcPr>
          <w:p w14:paraId="48E7BEC8" w14:textId="77777777" w:rsidR="008905CC" w:rsidRDefault="007C3620">
            <w:pPr>
              <w:pStyle w:val="Compact"/>
            </w:pPr>
            <w:r>
              <w:t>SCJS</w:t>
            </w:r>
          </w:p>
        </w:tc>
        <w:tc>
          <w:tcPr>
            <w:tcW w:w="1210" w:type="dxa"/>
          </w:tcPr>
          <w:p w14:paraId="7D8ED1C0" w14:textId="77777777" w:rsidR="008905CC" w:rsidRDefault="007C3620">
            <w:pPr>
              <w:pStyle w:val="Compact"/>
            </w:pPr>
            <w:r>
              <w:t>5.9 ± 0.8</w:t>
            </w:r>
          </w:p>
        </w:tc>
        <w:tc>
          <w:tcPr>
            <w:tcW w:w="1540" w:type="dxa"/>
          </w:tcPr>
          <w:p w14:paraId="6B119D72" w14:textId="77777777" w:rsidR="008905CC" w:rsidRDefault="007C3620">
            <w:pPr>
              <w:pStyle w:val="Compact"/>
            </w:pPr>
            <w:r>
              <w:t>15.5 ± 1.3</w:t>
            </w:r>
          </w:p>
        </w:tc>
        <w:tc>
          <w:tcPr>
            <w:tcW w:w="1650" w:type="dxa"/>
          </w:tcPr>
          <w:p w14:paraId="1DD2116E" w14:textId="77777777" w:rsidR="008905CC" w:rsidRDefault="007C3620">
            <w:pPr>
              <w:pStyle w:val="Compact"/>
            </w:pPr>
            <w:r>
              <w:t>55 ± 1.8</w:t>
            </w:r>
          </w:p>
        </w:tc>
        <w:tc>
          <w:tcPr>
            <w:tcW w:w="1540" w:type="dxa"/>
          </w:tcPr>
          <w:p w14:paraId="1EF37BE9" w14:textId="77777777" w:rsidR="008905CC" w:rsidRDefault="007C3620">
            <w:pPr>
              <w:pStyle w:val="Compact"/>
            </w:pPr>
            <w:r>
              <w:t>4.7 ± 0.8</w:t>
            </w:r>
          </w:p>
        </w:tc>
        <w:tc>
          <w:tcPr>
            <w:tcW w:w="1210" w:type="dxa"/>
          </w:tcPr>
          <w:p w14:paraId="7DE5500A" w14:textId="77777777" w:rsidR="008905CC" w:rsidRDefault="007C3620">
            <w:pPr>
              <w:pStyle w:val="Compact"/>
            </w:pPr>
            <w:r>
              <w:t>0.8 ± 0.3</w:t>
            </w:r>
          </w:p>
        </w:tc>
      </w:tr>
      <w:tr w:rsidR="008905CC" w14:paraId="59A17F64" w14:textId="77777777">
        <w:tc>
          <w:tcPr>
            <w:tcW w:w="770" w:type="dxa"/>
          </w:tcPr>
          <w:p w14:paraId="6AA91F06" w14:textId="77777777" w:rsidR="008905CC" w:rsidRDefault="007C3620">
            <w:pPr>
              <w:pStyle w:val="Compact"/>
            </w:pPr>
            <w:r>
              <w:t>SHeS</w:t>
            </w:r>
          </w:p>
        </w:tc>
        <w:tc>
          <w:tcPr>
            <w:tcW w:w="1210" w:type="dxa"/>
          </w:tcPr>
          <w:p w14:paraId="75180CFB" w14:textId="77777777" w:rsidR="008905CC" w:rsidRDefault="007C3620">
            <w:pPr>
              <w:pStyle w:val="Compact"/>
            </w:pPr>
            <w:r>
              <w:t>0 ± 0</w:t>
            </w:r>
          </w:p>
        </w:tc>
        <w:tc>
          <w:tcPr>
            <w:tcW w:w="1540" w:type="dxa"/>
          </w:tcPr>
          <w:p w14:paraId="36B6F74A" w14:textId="77777777" w:rsidR="008905CC" w:rsidRDefault="007C3620">
            <w:pPr>
              <w:pStyle w:val="Compact"/>
            </w:pPr>
            <w:r>
              <w:t>0 ± 0</w:t>
            </w:r>
          </w:p>
        </w:tc>
        <w:tc>
          <w:tcPr>
            <w:tcW w:w="1650" w:type="dxa"/>
          </w:tcPr>
          <w:p w14:paraId="2439A056" w14:textId="77777777" w:rsidR="008905CC" w:rsidRDefault="007C3620">
            <w:pPr>
              <w:pStyle w:val="Compact"/>
            </w:pPr>
            <w:r>
              <w:t>0 ± 0</w:t>
            </w:r>
          </w:p>
        </w:tc>
        <w:tc>
          <w:tcPr>
            <w:tcW w:w="1540" w:type="dxa"/>
          </w:tcPr>
          <w:p w14:paraId="51C8BD89" w14:textId="77777777" w:rsidR="008905CC" w:rsidRDefault="007C3620">
            <w:pPr>
              <w:pStyle w:val="Compact"/>
            </w:pPr>
            <w:r>
              <w:t>0 ± 0</w:t>
            </w:r>
          </w:p>
        </w:tc>
        <w:tc>
          <w:tcPr>
            <w:tcW w:w="1210" w:type="dxa"/>
          </w:tcPr>
          <w:p w14:paraId="1D1C16C0" w14:textId="77777777" w:rsidR="008905CC" w:rsidRDefault="007C3620">
            <w:pPr>
              <w:pStyle w:val="Compact"/>
            </w:pPr>
            <w:r>
              <w:t>0 ± 0</w:t>
            </w:r>
          </w:p>
        </w:tc>
      </w:tr>
      <w:tr w:rsidR="008905CC" w14:paraId="67F2CBFC" w14:textId="77777777">
        <w:tc>
          <w:tcPr>
            <w:tcW w:w="770" w:type="dxa"/>
          </w:tcPr>
          <w:p w14:paraId="23A10FA6" w14:textId="77777777" w:rsidR="008905CC" w:rsidRDefault="007C3620">
            <w:pPr>
              <w:pStyle w:val="Compact"/>
            </w:pPr>
            <w:r>
              <w:t>SHS</w:t>
            </w:r>
          </w:p>
        </w:tc>
        <w:tc>
          <w:tcPr>
            <w:tcW w:w="1210" w:type="dxa"/>
          </w:tcPr>
          <w:p w14:paraId="74E2117E" w14:textId="77777777" w:rsidR="008905CC" w:rsidRDefault="007C3620">
            <w:pPr>
              <w:pStyle w:val="Compact"/>
            </w:pPr>
            <w:r>
              <w:t>3.3 ± 0.4</w:t>
            </w:r>
          </w:p>
        </w:tc>
        <w:tc>
          <w:tcPr>
            <w:tcW w:w="1540" w:type="dxa"/>
          </w:tcPr>
          <w:p w14:paraId="1FC605D6" w14:textId="77777777" w:rsidR="008905CC" w:rsidRDefault="007C3620">
            <w:pPr>
              <w:pStyle w:val="Compact"/>
            </w:pPr>
            <w:r>
              <w:t>11.8 ± 0.8</w:t>
            </w:r>
          </w:p>
        </w:tc>
        <w:tc>
          <w:tcPr>
            <w:tcW w:w="1650" w:type="dxa"/>
          </w:tcPr>
          <w:p w14:paraId="0ADAAE59" w14:textId="77777777" w:rsidR="008905CC" w:rsidRDefault="007C3620">
            <w:pPr>
              <w:pStyle w:val="Compact"/>
            </w:pPr>
            <w:r>
              <w:t>60.8 ± 1.2</w:t>
            </w:r>
          </w:p>
        </w:tc>
        <w:tc>
          <w:tcPr>
            <w:tcW w:w="1540" w:type="dxa"/>
          </w:tcPr>
          <w:p w14:paraId="025F4A60" w14:textId="77777777" w:rsidR="008905CC" w:rsidRDefault="007C3620">
            <w:pPr>
              <w:pStyle w:val="Compact"/>
            </w:pPr>
            <w:r>
              <w:t>3.8 ± 0.5</w:t>
            </w:r>
          </w:p>
        </w:tc>
        <w:tc>
          <w:tcPr>
            <w:tcW w:w="1210" w:type="dxa"/>
          </w:tcPr>
          <w:p w14:paraId="1CB507A3" w14:textId="77777777" w:rsidR="008905CC" w:rsidRDefault="007C3620">
            <w:pPr>
              <w:pStyle w:val="Compact"/>
            </w:pPr>
            <w:r>
              <w:t>0.4 ± 0.2</w:t>
            </w:r>
          </w:p>
        </w:tc>
      </w:tr>
    </w:tbl>
    <w:p w14:paraId="6888763C" w14:textId="77777777" w:rsidR="008905CC" w:rsidRDefault="007C3620">
      <w:pPr>
        <w:pStyle w:val="Heading2"/>
      </w:pPr>
      <w:bookmarkStart w:id="25" w:name="Xbdf5710daa8d5768023506fb964e9a7c4d5321f"/>
      <w:bookmarkEnd w:id="24"/>
      <w:r>
        <w:t>Table A.9: Confidence in the police by source survey (row % and margin of error)</w:t>
      </w:r>
    </w:p>
    <w:p w14:paraId="562CC705" w14:textId="77777777" w:rsidR="008905CC" w:rsidRDefault="007C3620">
      <w:pPr>
        <w:pStyle w:val="Heading3"/>
      </w:pPr>
      <w:bookmarkStart w:id="26" w:name="a-prevent-crime"/>
      <w:r>
        <w:t>A: Prevent crime</w:t>
      </w:r>
    </w:p>
    <w:tbl>
      <w:tblPr>
        <w:tblStyle w:val="Table"/>
        <w:tblW w:w="5000" w:type="pct"/>
        <w:tblLayout w:type="fixed"/>
        <w:tblLook w:val="0020" w:firstRow="1" w:lastRow="0" w:firstColumn="0" w:lastColumn="0" w:noHBand="0" w:noVBand="0"/>
      </w:tblPr>
      <w:tblGrid>
        <w:gridCol w:w="848"/>
        <w:gridCol w:w="1818"/>
        <w:gridCol w:w="2061"/>
        <w:gridCol w:w="2303"/>
        <w:gridCol w:w="2546"/>
      </w:tblGrid>
      <w:tr w:rsidR="008905CC" w14:paraId="36425900"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01" w:type="dxa"/>
          </w:tcPr>
          <w:p w14:paraId="0EDBE1E3" w14:textId="77777777" w:rsidR="008905CC" w:rsidRDefault="007C3620">
            <w:pPr>
              <w:pStyle w:val="Compact"/>
            </w:pPr>
            <w:r>
              <w:t>Survey</w:t>
            </w:r>
          </w:p>
        </w:tc>
        <w:tc>
          <w:tcPr>
            <w:tcW w:w="1503" w:type="dxa"/>
          </w:tcPr>
          <w:p w14:paraId="2475777D" w14:textId="77777777" w:rsidR="008905CC" w:rsidRDefault="007C3620">
            <w:pPr>
              <w:pStyle w:val="Compact"/>
            </w:pPr>
            <w:r>
              <w:t>Very confident</w:t>
            </w:r>
          </w:p>
        </w:tc>
        <w:tc>
          <w:tcPr>
            <w:tcW w:w="1704" w:type="dxa"/>
          </w:tcPr>
          <w:p w14:paraId="4975CED3" w14:textId="77777777" w:rsidR="008905CC" w:rsidRDefault="007C3620">
            <w:pPr>
              <w:pStyle w:val="Compact"/>
            </w:pPr>
            <w:r>
              <w:t>Fairly confident</w:t>
            </w:r>
          </w:p>
        </w:tc>
        <w:tc>
          <w:tcPr>
            <w:tcW w:w="1904" w:type="dxa"/>
          </w:tcPr>
          <w:p w14:paraId="478C5B61" w14:textId="77777777" w:rsidR="008905CC" w:rsidRDefault="007C3620">
            <w:pPr>
              <w:pStyle w:val="Compact"/>
            </w:pPr>
            <w:r>
              <w:t>Not very confident</w:t>
            </w:r>
          </w:p>
        </w:tc>
        <w:tc>
          <w:tcPr>
            <w:tcW w:w="2105" w:type="dxa"/>
          </w:tcPr>
          <w:p w14:paraId="6E9A7333" w14:textId="77777777" w:rsidR="008905CC" w:rsidRDefault="007C3620">
            <w:pPr>
              <w:pStyle w:val="Compact"/>
            </w:pPr>
            <w:r>
              <w:t>Not at all confident</w:t>
            </w:r>
          </w:p>
        </w:tc>
      </w:tr>
      <w:tr w:rsidR="008905CC" w14:paraId="022119CE" w14:textId="77777777">
        <w:tc>
          <w:tcPr>
            <w:tcW w:w="701" w:type="dxa"/>
          </w:tcPr>
          <w:p w14:paraId="2A5D1703" w14:textId="77777777" w:rsidR="008905CC" w:rsidRDefault="007C3620">
            <w:pPr>
              <w:pStyle w:val="Compact"/>
            </w:pPr>
            <w:r>
              <w:t>SSCQ</w:t>
            </w:r>
          </w:p>
        </w:tc>
        <w:tc>
          <w:tcPr>
            <w:tcW w:w="1503" w:type="dxa"/>
          </w:tcPr>
          <w:p w14:paraId="5048A8E7" w14:textId="77777777" w:rsidR="008905CC" w:rsidRDefault="007C3620">
            <w:pPr>
              <w:pStyle w:val="Compact"/>
            </w:pPr>
            <w:r>
              <w:t>6.4 ± 0.5</w:t>
            </w:r>
          </w:p>
        </w:tc>
        <w:tc>
          <w:tcPr>
            <w:tcW w:w="1704" w:type="dxa"/>
          </w:tcPr>
          <w:p w14:paraId="0E848574" w14:textId="77777777" w:rsidR="008905CC" w:rsidRDefault="007C3620">
            <w:pPr>
              <w:pStyle w:val="Compact"/>
            </w:pPr>
            <w:r>
              <w:t>37.6 ± 1</w:t>
            </w:r>
          </w:p>
        </w:tc>
        <w:tc>
          <w:tcPr>
            <w:tcW w:w="1904" w:type="dxa"/>
          </w:tcPr>
          <w:p w14:paraId="0D007D53" w14:textId="77777777" w:rsidR="008905CC" w:rsidRDefault="007C3620">
            <w:pPr>
              <w:pStyle w:val="Compact"/>
            </w:pPr>
            <w:r>
              <w:t>26.2 ± 0.9</w:t>
            </w:r>
          </w:p>
        </w:tc>
        <w:tc>
          <w:tcPr>
            <w:tcW w:w="2105" w:type="dxa"/>
          </w:tcPr>
          <w:p w14:paraId="66D485E2" w14:textId="77777777" w:rsidR="008905CC" w:rsidRDefault="007C3620">
            <w:pPr>
              <w:pStyle w:val="Compact"/>
            </w:pPr>
            <w:r>
              <w:t>12.5 ± 0.7</w:t>
            </w:r>
          </w:p>
        </w:tc>
      </w:tr>
      <w:tr w:rsidR="008905CC" w14:paraId="0B46C8C9" w14:textId="77777777">
        <w:tc>
          <w:tcPr>
            <w:tcW w:w="701" w:type="dxa"/>
          </w:tcPr>
          <w:p w14:paraId="4AE79A20" w14:textId="77777777" w:rsidR="008905CC" w:rsidRDefault="007C3620">
            <w:pPr>
              <w:pStyle w:val="Compact"/>
            </w:pPr>
            <w:r>
              <w:t>SCJS</w:t>
            </w:r>
          </w:p>
        </w:tc>
        <w:tc>
          <w:tcPr>
            <w:tcW w:w="1503" w:type="dxa"/>
          </w:tcPr>
          <w:p w14:paraId="32109080" w14:textId="77777777" w:rsidR="008905CC" w:rsidRDefault="007C3620">
            <w:pPr>
              <w:pStyle w:val="Compact"/>
            </w:pPr>
            <w:r>
              <w:t>5.3 ± 0.8</w:t>
            </w:r>
          </w:p>
        </w:tc>
        <w:tc>
          <w:tcPr>
            <w:tcW w:w="1704" w:type="dxa"/>
          </w:tcPr>
          <w:p w14:paraId="408444EF" w14:textId="77777777" w:rsidR="008905CC" w:rsidRDefault="007C3620">
            <w:pPr>
              <w:pStyle w:val="Compact"/>
            </w:pPr>
            <w:r>
              <w:t>36.9 ± 1.8</w:t>
            </w:r>
          </w:p>
        </w:tc>
        <w:tc>
          <w:tcPr>
            <w:tcW w:w="1904" w:type="dxa"/>
          </w:tcPr>
          <w:p w14:paraId="2D5554C6" w14:textId="77777777" w:rsidR="008905CC" w:rsidRDefault="007C3620">
            <w:pPr>
              <w:pStyle w:val="Compact"/>
            </w:pPr>
            <w:r>
              <w:t>37.2 ± 1.8</w:t>
            </w:r>
          </w:p>
        </w:tc>
        <w:tc>
          <w:tcPr>
            <w:tcW w:w="2105" w:type="dxa"/>
          </w:tcPr>
          <w:p w14:paraId="3DA20280" w14:textId="77777777" w:rsidR="008905CC" w:rsidRDefault="007C3620">
            <w:pPr>
              <w:pStyle w:val="Compact"/>
            </w:pPr>
            <w:r>
              <w:t>13.2 ± 1.2</w:t>
            </w:r>
          </w:p>
        </w:tc>
      </w:tr>
      <w:tr w:rsidR="008905CC" w14:paraId="67CE4006" w14:textId="77777777">
        <w:tc>
          <w:tcPr>
            <w:tcW w:w="701" w:type="dxa"/>
          </w:tcPr>
          <w:p w14:paraId="35918A28" w14:textId="77777777" w:rsidR="008905CC" w:rsidRDefault="007C3620">
            <w:pPr>
              <w:pStyle w:val="Compact"/>
            </w:pPr>
            <w:r>
              <w:t>SHS</w:t>
            </w:r>
          </w:p>
        </w:tc>
        <w:tc>
          <w:tcPr>
            <w:tcW w:w="1503" w:type="dxa"/>
          </w:tcPr>
          <w:p w14:paraId="2B6DF0C8" w14:textId="77777777" w:rsidR="008905CC" w:rsidRDefault="007C3620">
            <w:pPr>
              <w:pStyle w:val="Compact"/>
            </w:pPr>
            <w:r>
              <w:t>6.9 ± 0.7</w:t>
            </w:r>
          </w:p>
        </w:tc>
        <w:tc>
          <w:tcPr>
            <w:tcW w:w="1704" w:type="dxa"/>
          </w:tcPr>
          <w:p w14:paraId="33BAF0BD" w14:textId="77777777" w:rsidR="008905CC" w:rsidRDefault="007C3620">
            <w:pPr>
              <w:pStyle w:val="Compact"/>
            </w:pPr>
            <w:r>
              <w:t>38 ± 1.2</w:t>
            </w:r>
          </w:p>
        </w:tc>
        <w:tc>
          <w:tcPr>
            <w:tcW w:w="1904" w:type="dxa"/>
          </w:tcPr>
          <w:p w14:paraId="25B25276" w14:textId="77777777" w:rsidR="008905CC" w:rsidRDefault="007C3620">
            <w:pPr>
              <w:pStyle w:val="Compact"/>
            </w:pPr>
            <w:r>
              <w:t>21.1 ± 1</w:t>
            </w:r>
          </w:p>
        </w:tc>
        <w:tc>
          <w:tcPr>
            <w:tcW w:w="2105" w:type="dxa"/>
          </w:tcPr>
          <w:p w14:paraId="45123D80" w14:textId="77777777" w:rsidR="008905CC" w:rsidRDefault="007C3620">
            <w:pPr>
              <w:pStyle w:val="Compact"/>
            </w:pPr>
            <w:r>
              <w:t>12.2 ± 0.8</w:t>
            </w:r>
          </w:p>
        </w:tc>
      </w:tr>
    </w:tbl>
    <w:p w14:paraId="6E7B0EED" w14:textId="77777777" w:rsidR="008905CC" w:rsidRDefault="007C3620">
      <w:pPr>
        <w:pStyle w:val="Heading3"/>
      </w:pPr>
      <w:bookmarkStart w:id="27" w:name="X86e87ca20f9df7986020fc0816f88eeeb2aa33b"/>
      <w:bookmarkEnd w:id="26"/>
      <w:r>
        <w:t>B: Respond quickly to appropriate calls and information from the public</w:t>
      </w:r>
    </w:p>
    <w:tbl>
      <w:tblPr>
        <w:tblStyle w:val="Table"/>
        <w:tblW w:w="5000" w:type="pct"/>
        <w:tblLayout w:type="fixed"/>
        <w:tblLook w:val="0020" w:firstRow="1" w:lastRow="0" w:firstColumn="0" w:lastColumn="0" w:noHBand="0" w:noVBand="0"/>
      </w:tblPr>
      <w:tblGrid>
        <w:gridCol w:w="848"/>
        <w:gridCol w:w="1818"/>
        <w:gridCol w:w="2061"/>
        <w:gridCol w:w="2303"/>
        <w:gridCol w:w="2546"/>
      </w:tblGrid>
      <w:tr w:rsidR="008905CC" w14:paraId="56A64B46"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01" w:type="dxa"/>
          </w:tcPr>
          <w:p w14:paraId="01F897C2" w14:textId="77777777" w:rsidR="008905CC" w:rsidRDefault="007C3620">
            <w:pPr>
              <w:pStyle w:val="Compact"/>
            </w:pPr>
            <w:r>
              <w:t>Survey</w:t>
            </w:r>
          </w:p>
        </w:tc>
        <w:tc>
          <w:tcPr>
            <w:tcW w:w="1503" w:type="dxa"/>
          </w:tcPr>
          <w:p w14:paraId="38E2921E" w14:textId="77777777" w:rsidR="008905CC" w:rsidRDefault="007C3620">
            <w:pPr>
              <w:pStyle w:val="Compact"/>
            </w:pPr>
            <w:r>
              <w:t>Very confident</w:t>
            </w:r>
          </w:p>
        </w:tc>
        <w:tc>
          <w:tcPr>
            <w:tcW w:w="1704" w:type="dxa"/>
          </w:tcPr>
          <w:p w14:paraId="670C5BEB" w14:textId="77777777" w:rsidR="008905CC" w:rsidRDefault="007C3620">
            <w:pPr>
              <w:pStyle w:val="Compact"/>
            </w:pPr>
            <w:r>
              <w:t>Fairly confident</w:t>
            </w:r>
          </w:p>
        </w:tc>
        <w:tc>
          <w:tcPr>
            <w:tcW w:w="1904" w:type="dxa"/>
          </w:tcPr>
          <w:p w14:paraId="602F411A" w14:textId="77777777" w:rsidR="008905CC" w:rsidRDefault="007C3620">
            <w:pPr>
              <w:pStyle w:val="Compact"/>
            </w:pPr>
            <w:r>
              <w:t>Not very confident</w:t>
            </w:r>
          </w:p>
        </w:tc>
        <w:tc>
          <w:tcPr>
            <w:tcW w:w="2105" w:type="dxa"/>
          </w:tcPr>
          <w:p w14:paraId="0FE17085" w14:textId="77777777" w:rsidR="008905CC" w:rsidRDefault="007C3620">
            <w:pPr>
              <w:pStyle w:val="Compact"/>
            </w:pPr>
            <w:r>
              <w:t>Not at all confident</w:t>
            </w:r>
          </w:p>
        </w:tc>
      </w:tr>
      <w:tr w:rsidR="008905CC" w14:paraId="32EFA7A2" w14:textId="77777777">
        <w:tc>
          <w:tcPr>
            <w:tcW w:w="701" w:type="dxa"/>
          </w:tcPr>
          <w:p w14:paraId="44A295AB" w14:textId="77777777" w:rsidR="008905CC" w:rsidRDefault="007C3620">
            <w:pPr>
              <w:pStyle w:val="Compact"/>
            </w:pPr>
            <w:r>
              <w:t>SSCQ</w:t>
            </w:r>
          </w:p>
        </w:tc>
        <w:tc>
          <w:tcPr>
            <w:tcW w:w="1503" w:type="dxa"/>
          </w:tcPr>
          <w:p w14:paraId="2C54A7C6" w14:textId="77777777" w:rsidR="008905CC" w:rsidRDefault="007C3620">
            <w:pPr>
              <w:pStyle w:val="Compact"/>
            </w:pPr>
            <w:r>
              <w:t>10.4 ± 0.6</w:t>
            </w:r>
          </w:p>
        </w:tc>
        <w:tc>
          <w:tcPr>
            <w:tcW w:w="1704" w:type="dxa"/>
          </w:tcPr>
          <w:p w14:paraId="46B52AED" w14:textId="77777777" w:rsidR="008905CC" w:rsidRDefault="007C3620">
            <w:pPr>
              <w:pStyle w:val="Compact"/>
            </w:pPr>
            <w:r>
              <w:t>45 ± 1</w:t>
            </w:r>
          </w:p>
        </w:tc>
        <w:tc>
          <w:tcPr>
            <w:tcW w:w="1904" w:type="dxa"/>
          </w:tcPr>
          <w:p w14:paraId="2F3C9154" w14:textId="77777777" w:rsidR="008905CC" w:rsidRDefault="007C3620">
            <w:pPr>
              <w:pStyle w:val="Compact"/>
            </w:pPr>
            <w:r>
              <w:t>19.3 ± 0.8</w:t>
            </w:r>
          </w:p>
        </w:tc>
        <w:tc>
          <w:tcPr>
            <w:tcW w:w="2105" w:type="dxa"/>
          </w:tcPr>
          <w:p w14:paraId="41A00514" w14:textId="77777777" w:rsidR="008905CC" w:rsidRDefault="007C3620">
            <w:pPr>
              <w:pStyle w:val="Compact"/>
            </w:pPr>
            <w:r>
              <w:t>10.1 ± 0.6</w:t>
            </w:r>
          </w:p>
        </w:tc>
      </w:tr>
      <w:tr w:rsidR="008905CC" w14:paraId="541139AD" w14:textId="77777777">
        <w:tc>
          <w:tcPr>
            <w:tcW w:w="701" w:type="dxa"/>
          </w:tcPr>
          <w:p w14:paraId="2EFEC3C0" w14:textId="77777777" w:rsidR="008905CC" w:rsidRDefault="007C3620">
            <w:pPr>
              <w:pStyle w:val="Compact"/>
            </w:pPr>
            <w:r>
              <w:t>SCJS</w:t>
            </w:r>
          </w:p>
        </w:tc>
        <w:tc>
          <w:tcPr>
            <w:tcW w:w="1503" w:type="dxa"/>
          </w:tcPr>
          <w:p w14:paraId="7EA864AD" w14:textId="77777777" w:rsidR="008905CC" w:rsidRDefault="007C3620">
            <w:pPr>
              <w:pStyle w:val="Compact"/>
            </w:pPr>
            <w:r>
              <w:t>11.6 ± 1.2</w:t>
            </w:r>
          </w:p>
        </w:tc>
        <w:tc>
          <w:tcPr>
            <w:tcW w:w="1704" w:type="dxa"/>
          </w:tcPr>
          <w:p w14:paraId="1D2B4F70" w14:textId="77777777" w:rsidR="008905CC" w:rsidRDefault="007C3620">
            <w:pPr>
              <w:pStyle w:val="Compact"/>
            </w:pPr>
            <w:r>
              <w:t>46.8 ± 1.8</w:t>
            </w:r>
          </w:p>
        </w:tc>
        <w:tc>
          <w:tcPr>
            <w:tcW w:w="1904" w:type="dxa"/>
          </w:tcPr>
          <w:p w14:paraId="219348A4" w14:textId="77777777" w:rsidR="008905CC" w:rsidRDefault="007C3620">
            <w:pPr>
              <w:pStyle w:val="Compact"/>
            </w:pPr>
            <w:r>
              <w:t>24.6 ± 1.5</w:t>
            </w:r>
          </w:p>
        </w:tc>
        <w:tc>
          <w:tcPr>
            <w:tcW w:w="2105" w:type="dxa"/>
          </w:tcPr>
          <w:p w14:paraId="2A5683F6" w14:textId="77777777" w:rsidR="008905CC" w:rsidRDefault="007C3620">
            <w:pPr>
              <w:pStyle w:val="Compact"/>
            </w:pPr>
            <w:r>
              <w:t>10.5 ± 1</w:t>
            </w:r>
          </w:p>
        </w:tc>
      </w:tr>
      <w:tr w:rsidR="008905CC" w14:paraId="6EEEE507" w14:textId="77777777">
        <w:tc>
          <w:tcPr>
            <w:tcW w:w="701" w:type="dxa"/>
          </w:tcPr>
          <w:p w14:paraId="33DE7C5D" w14:textId="77777777" w:rsidR="008905CC" w:rsidRDefault="007C3620">
            <w:pPr>
              <w:pStyle w:val="Compact"/>
            </w:pPr>
            <w:r>
              <w:t>SHS</w:t>
            </w:r>
          </w:p>
        </w:tc>
        <w:tc>
          <w:tcPr>
            <w:tcW w:w="1503" w:type="dxa"/>
          </w:tcPr>
          <w:p w14:paraId="7955BF71" w14:textId="77777777" w:rsidR="008905CC" w:rsidRDefault="007C3620">
            <w:pPr>
              <w:pStyle w:val="Compact"/>
            </w:pPr>
            <w:r>
              <w:t>9.9 ± 0.7</w:t>
            </w:r>
          </w:p>
        </w:tc>
        <w:tc>
          <w:tcPr>
            <w:tcW w:w="1704" w:type="dxa"/>
          </w:tcPr>
          <w:p w14:paraId="699E5313" w14:textId="77777777" w:rsidR="008905CC" w:rsidRDefault="007C3620">
            <w:pPr>
              <w:pStyle w:val="Compact"/>
            </w:pPr>
            <w:r>
              <w:t>44.2 ± 1.2</w:t>
            </w:r>
          </w:p>
        </w:tc>
        <w:tc>
          <w:tcPr>
            <w:tcW w:w="1904" w:type="dxa"/>
          </w:tcPr>
          <w:p w14:paraId="79E5F802" w14:textId="77777777" w:rsidR="008905CC" w:rsidRDefault="007C3620">
            <w:pPr>
              <w:pStyle w:val="Compact"/>
            </w:pPr>
            <w:r>
              <w:t>16.8 ± 0.9</w:t>
            </w:r>
          </w:p>
        </w:tc>
        <w:tc>
          <w:tcPr>
            <w:tcW w:w="2105" w:type="dxa"/>
          </w:tcPr>
          <w:p w14:paraId="06686B74" w14:textId="77777777" w:rsidR="008905CC" w:rsidRDefault="007C3620">
            <w:pPr>
              <w:pStyle w:val="Compact"/>
            </w:pPr>
            <w:r>
              <w:t>9.9 ± 0.7</w:t>
            </w:r>
          </w:p>
        </w:tc>
      </w:tr>
    </w:tbl>
    <w:p w14:paraId="5DD53DF8" w14:textId="77777777" w:rsidR="008905CC" w:rsidRDefault="007C3620">
      <w:pPr>
        <w:pStyle w:val="Heading3"/>
      </w:pPr>
      <w:bookmarkStart w:id="28" w:name="c-deal-with-incidents-as-they-occur"/>
      <w:bookmarkEnd w:id="27"/>
      <w:r>
        <w:t>C: Deal with incidents as they occur</w:t>
      </w:r>
    </w:p>
    <w:tbl>
      <w:tblPr>
        <w:tblStyle w:val="Table"/>
        <w:tblW w:w="5000" w:type="pct"/>
        <w:tblLayout w:type="fixed"/>
        <w:tblLook w:val="0020" w:firstRow="1" w:lastRow="0" w:firstColumn="0" w:lastColumn="0" w:noHBand="0" w:noVBand="0"/>
      </w:tblPr>
      <w:tblGrid>
        <w:gridCol w:w="848"/>
        <w:gridCol w:w="1818"/>
        <w:gridCol w:w="2061"/>
        <w:gridCol w:w="2303"/>
        <w:gridCol w:w="2546"/>
      </w:tblGrid>
      <w:tr w:rsidR="008905CC" w14:paraId="62171D2D"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01" w:type="dxa"/>
          </w:tcPr>
          <w:p w14:paraId="58B739D2" w14:textId="77777777" w:rsidR="008905CC" w:rsidRDefault="007C3620">
            <w:pPr>
              <w:pStyle w:val="Compact"/>
            </w:pPr>
            <w:r>
              <w:t>Survey</w:t>
            </w:r>
          </w:p>
        </w:tc>
        <w:tc>
          <w:tcPr>
            <w:tcW w:w="1503" w:type="dxa"/>
          </w:tcPr>
          <w:p w14:paraId="08320841" w14:textId="77777777" w:rsidR="008905CC" w:rsidRDefault="007C3620">
            <w:pPr>
              <w:pStyle w:val="Compact"/>
            </w:pPr>
            <w:r>
              <w:t>Very confident</w:t>
            </w:r>
          </w:p>
        </w:tc>
        <w:tc>
          <w:tcPr>
            <w:tcW w:w="1704" w:type="dxa"/>
          </w:tcPr>
          <w:p w14:paraId="02736CB9" w14:textId="77777777" w:rsidR="008905CC" w:rsidRDefault="007C3620">
            <w:pPr>
              <w:pStyle w:val="Compact"/>
            </w:pPr>
            <w:r>
              <w:t>Fairly confident</w:t>
            </w:r>
          </w:p>
        </w:tc>
        <w:tc>
          <w:tcPr>
            <w:tcW w:w="1904" w:type="dxa"/>
          </w:tcPr>
          <w:p w14:paraId="211EB725" w14:textId="77777777" w:rsidR="008905CC" w:rsidRDefault="007C3620">
            <w:pPr>
              <w:pStyle w:val="Compact"/>
            </w:pPr>
            <w:r>
              <w:t>Not very confident</w:t>
            </w:r>
          </w:p>
        </w:tc>
        <w:tc>
          <w:tcPr>
            <w:tcW w:w="2105" w:type="dxa"/>
          </w:tcPr>
          <w:p w14:paraId="3264DA4A" w14:textId="77777777" w:rsidR="008905CC" w:rsidRDefault="007C3620">
            <w:pPr>
              <w:pStyle w:val="Compact"/>
            </w:pPr>
            <w:r>
              <w:t>Not at all confident</w:t>
            </w:r>
          </w:p>
        </w:tc>
      </w:tr>
      <w:tr w:rsidR="008905CC" w14:paraId="6E6930E1" w14:textId="77777777">
        <w:tc>
          <w:tcPr>
            <w:tcW w:w="701" w:type="dxa"/>
          </w:tcPr>
          <w:p w14:paraId="2BC72E73" w14:textId="77777777" w:rsidR="008905CC" w:rsidRDefault="007C3620">
            <w:pPr>
              <w:pStyle w:val="Compact"/>
            </w:pPr>
            <w:r>
              <w:t>SSCQ</w:t>
            </w:r>
          </w:p>
        </w:tc>
        <w:tc>
          <w:tcPr>
            <w:tcW w:w="1503" w:type="dxa"/>
          </w:tcPr>
          <w:p w14:paraId="134DC939" w14:textId="77777777" w:rsidR="008905CC" w:rsidRDefault="007C3620">
            <w:pPr>
              <w:pStyle w:val="Compact"/>
            </w:pPr>
            <w:r>
              <w:t>8.7 ± 0.6</w:t>
            </w:r>
          </w:p>
        </w:tc>
        <w:tc>
          <w:tcPr>
            <w:tcW w:w="1704" w:type="dxa"/>
          </w:tcPr>
          <w:p w14:paraId="2A2D4236" w14:textId="77777777" w:rsidR="008905CC" w:rsidRDefault="007C3620">
            <w:pPr>
              <w:pStyle w:val="Compact"/>
            </w:pPr>
            <w:r>
              <w:t>45.8 ± 1</w:t>
            </w:r>
          </w:p>
        </w:tc>
        <w:tc>
          <w:tcPr>
            <w:tcW w:w="1904" w:type="dxa"/>
          </w:tcPr>
          <w:p w14:paraId="2551D56E" w14:textId="77777777" w:rsidR="008905CC" w:rsidRDefault="007C3620">
            <w:pPr>
              <w:pStyle w:val="Compact"/>
            </w:pPr>
            <w:r>
              <w:t>20.1 ± 0.8</w:t>
            </w:r>
          </w:p>
        </w:tc>
        <w:tc>
          <w:tcPr>
            <w:tcW w:w="2105" w:type="dxa"/>
          </w:tcPr>
          <w:p w14:paraId="4F759F32" w14:textId="77777777" w:rsidR="008905CC" w:rsidRDefault="007C3620">
            <w:pPr>
              <w:pStyle w:val="Compact"/>
            </w:pPr>
            <w:r>
              <w:t>9.7 ± 0.6</w:t>
            </w:r>
          </w:p>
        </w:tc>
      </w:tr>
      <w:tr w:rsidR="008905CC" w14:paraId="1E79572F" w14:textId="77777777">
        <w:tc>
          <w:tcPr>
            <w:tcW w:w="701" w:type="dxa"/>
          </w:tcPr>
          <w:p w14:paraId="54852145" w14:textId="77777777" w:rsidR="008905CC" w:rsidRDefault="007C3620">
            <w:pPr>
              <w:pStyle w:val="Compact"/>
            </w:pPr>
            <w:r>
              <w:lastRenderedPageBreak/>
              <w:t>SCJS</w:t>
            </w:r>
          </w:p>
        </w:tc>
        <w:tc>
          <w:tcPr>
            <w:tcW w:w="1503" w:type="dxa"/>
          </w:tcPr>
          <w:p w14:paraId="125A45E3" w14:textId="77777777" w:rsidR="008905CC" w:rsidRDefault="007C3620">
            <w:pPr>
              <w:pStyle w:val="Compact"/>
            </w:pPr>
            <w:r>
              <w:t>9.2 ± 1</w:t>
            </w:r>
          </w:p>
        </w:tc>
        <w:tc>
          <w:tcPr>
            <w:tcW w:w="1704" w:type="dxa"/>
          </w:tcPr>
          <w:p w14:paraId="2C37C592" w14:textId="77777777" w:rsidR="008905CC" w:rsidRDefault="007C3620">
            <w:pPr>
              <w:pStyle w:val="Compact"/>
            </w:pPr>
            <w:r>
              <w:t>48.1 ± 1.8</w:t>
            </w:r>
          </w:p>
        </w:tc>
        <w:tc>
          <w:tcPr>
            <w:tcW w:w="1904" w:type="dxa"/>
          </w:tcPr>
          <w:p w14:paraId="72A33D0A" w14:textId="77777777" w:rsidR="008905CC" w:rsidRDefault="007C3620">
            <w:pPr>
              <w:pStyle w:val="Compact"/>
            </w:pPr>
            <w:r>
              <w:t>26.4 ± 1.6</w:t>
            </w:r>
          </w:p>
        </w:tc>
        <w:tc>
          <w:tcPr>
            <w:tcW w:w="2105" w:type="dxa"/>
          </w:tcPr>
          <w:p w14:paraId="7B69A203" w14:textId="77777777" w:rsidR="008905CC" w:rsidRDefault="007C3620">
            <w:pPr>
              <w:pStyle w:val="Compact"/>
            </w:pPr>
            <w:r>
              <w:t>9.8 ± 1.1</w:t>
            </w:r>
          </w:p>
        </w:tc>
      </w:tr>
      <w:tr w:rsidR="008905CC" w14:paraId="5F88DBDD" w14:textId="77777777">
        <w:tc>
          <w:tcPr>
            <w:tcW w:w="701" w:type="dxa"/>
          </w:tcPr>
          <w:p w14:paraId="301276EC" w14:textId="77777777" w:rsidR="008905CC" w:rsidRDefault="007C3620">
            <w:pPr>
              <w:pStyle w:val="Compact"/>
            </w:pPr>
            <w:r>
              <w:t>SHS</w:t>
            </w:r>
          </w:p>
        </w:tc>
        <w:tc>
          <w:tcPr>
            <w:tcW w:w="1503" w:type="dxa"/>
          </w:tcPr>
          <w:p w14:paraId="4F691533" w14:textId="77777777" w:rsidR="008905CC" w:rsidRDefault="007C3620">
            <w:pPr>
              <w:pStyle w:val="Compact"/>
            </w:pPr>
            <w:r>
              <w:t>8.5 ± 0.7</w:t>
            </w:r>
          </w:p>
        </w:tc>
        <w:tc>
          <w:tcPr>
            <w:tcW w:w="1704" w:type="dxa"/>
          </w:tcPr>
          <w:p w14:paraId="0D5F1AB9" w14:textId="77777777" w:rsidR="008905CC" w:rsidRDefault="007C3620">
            <w:pPr>
              <w:pStyle w:val="Compact"/>
            </w:pPr>
            <w:r>
              <w:t>44.8 ± 1.2</w:t>
            </w:r>
          </w:p>
        </w:tc>
        <w:tc>
          <w:tcPr>
            <w:tcW w:w="1904" w:type="dxa"/>
          </w:tcPr>
          <w:p w14:paraId="1490F2D7" w14:textId="77777777" w:rsidR="008905CC" w:rsidRDefault="007C3620">
            <w:pPr>
              <w:pStyle w:val="Compact"/>
            </w:pPr>
            <w:r>
              <w:t>17.1 ± 0.9</w:t>
            </w:r>
          </w:p>
        </w:tc>
        <w:tc>
          <w:tcPr>
            <w:tcW w:w="2105" w:type="dxa"/>
          </w:tcPr>
          <w:p w14:paraId="17C0EE76" w14:textId="77777777" w:rsidR="008905CC" w:rsidRDefault="007C3620">
            <w:pPr>
              <w:pStyle w:val="Compact"/>
            </w:pPr>
            <w:r>
              <w:t>9.7 ± 0.7</w:t>
            </w:r>
          </w:p>
        </w:tc>
      </w:tr>
    </w:tbl>
    <w:p w14:paraId="20679391" w14:textId="77777777" w:rsidR="008905CC" w:rsidRDefault="007C3620">
      <w:pPr>
        <w:pStyle w:val="Heading3"/>
      </w:pPr>
      <w:bookmarkStart w:id="29" w:name="d-investigate-incidents-after-they-occur"/>
      <w:bookmarkEnd w:id="28"/>
      <w:r>
        <w:t>D: Investigate incidents after they occur</w:t>
      </w:r>
    </w:p>
    <w:tbl>
      <w:tblPr>
        <w:tblStyle w:val="Table"/>
        <w:tblW w:w="5000" w:type="pct"/>
        <w:tblLayout w:type="fixed"/>
        <w:tblLook w:val="0020" w:firstRow="1" w:lastRow="0" w:firstColumn="0" w:lastColumn="0" w:noHBand="0" w:noVBand="0"/>
      </w:tblPr>
      <w:tblGrid>
        <w:gridCol w:w="848"/>
        <w:gridCol w:w="1818"/>
        <w:gridCol w:w="2061"/>
        <w:gridCol w:w="2303"/>
        <w:gridCol w:w="2546"/>
      </w:tblGrid>
      <w:tr w:rsidR="008905CC" w14:paraId="76CDD402"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01" w:type="dxa"/>
          </w:tcPr>
          <w:p w14:paraId="4094D2D4" w14:textId="77777777" w:rsidR="008905CC" w:rsidRDefault="007C3620">
            <w:pPr>
              <w:pStyle w:val="Compact"/>
            </w:pPr>
            <w:r>
              <w:t>Survey</w:t>
            </w:r>
          </w:p>
        </w:tc>
        <w:tc>
          <w:tcPr>
            <w:tcW w:w="1503" w:type="dxa"/>
          </w:tcPr>
          <w:p w14:paraId="2868EEDA" w14:textId="77777777" w:rsidR="008905CC" w:rsidRDefault="007C3620">
            <w:pPr>
              <w:pStyle w:val="Compact"/>
            </w:pPr>
            <w:r>
              <w:t>Very confident</w:t>
            </w:r>
          </w:p>
        </w:tc>
        <w:tc>
          <w:tcPr>
            <w:tcW w:w="1704" w:type="dxa"/>
          </w:tcPr>
          <w:p w14:paraId="5C9FE0E2" w14:textId="77777777" w:rsidR="008905CC" w:rsidRDefault="007C3620">
            <w:pPr>
              <w:pStyle w:val="Compact"/>
            </w:pPr>
            <w:r>
              <w:t>Fairly confident</w:t>
            </w:r>
          </w:p>
        </w:tc>
        <w:tc>
          <w:tcPr>
            <w:tcW w:w="1904" w:type="dxa"/>
          </w:tcPr>
          <w:p w14:paraId="7C832713" w14:textId="77777777" w:rsidR="008905CC" w:rsidRDefault="007C3620">
            <w:pPr>
              <w:pStyle w:val="Compact"/>
            </w:pPr>
            <w:r>
              <w:t>Not very confident</w:t>
            </w:r>
          </w:p>
        </w:tc>
        <w:tc>
          <w:tcPr>
            <w:tcW w:w="2105" w:type="dxa"/>
          </w:tcPr>
          <w:p w14:paraId="4E7EF019" w14:textId="77777777" w:rsidR="008905CC" w:rsidRDefault="007C3620">
            <w:pPr>
              <w:pStyle w:val="Compact"/>
            </w:pPr>
            <w:r>
              <w:t>Not at all confident</w:t>
            </w:r>
          </w:p>
        </w:tc>
      </w:tr>
      <w:tr w:rsidR="008905CC" w14:paraId="210B0CC3" w14:textId="77777777">
        <w:tc>
          <w:tcPr>
            <w:tcW w:w="701" w:type="dxa"/>
          </w:tcPr>
          <w:p w14:paraId="514B4444" w14:textId="77777777" w:rsidR="008905CC" w:rsidRDefault="007C3620">
            <w:pPr>
              <w:pStyle w:val="Compact"/>
            </w:pPr>
            <w:r>
              <w:t>SSCQ</w:t>
            </w:r>
          </w:p>
        </w:tc>
        <w:tc>
          <w:tcPr>
            <w:tcW w:w="1503" w:type="dxa"/>
          </w:tcPr>
          <w:p w14:paraId="4F86C223" w14:textId="77777777" w:rsidR="008905CC" w:rsidRDefault="007C3620">
            <w:pPr>
              <w:pStyle w:val="Compact"/>
            </w:pPr>
            <w:r>
              <w:t>9.7 ± 0.6</w:t>
            </w:r>
          </w:p>
        </w:tc>
        <w:tc>
          <w:tcPr>
            <w:tcW w:w="1704" w:type="dxa"/>
          </w:tcPr>
          <w:p w14:paraId="7FD2A5F5" w14:textId="77777777" w:rsidR="008905CC" w:rsidRDefault="007C3620">
            <w:pPr>
              <w:pStyle w:val="Compact"/>
            </w:pPr>
            <w:r>
              <w:t>46.7 ± 1</w:t>
            </w:r>
          </w:p>
        </w:tc>
        <w:tc>
          <w:tcPr>
            <w:tcW w:w="1904" w:type="dxa"/>
          </w:tcPr>
          <w:p w14:paraId="4F35A1C3" w14:textId="77777777" w:rsidR="008905CC" w:rsidRDefault="007C3620">
            <w:pPr>
              <w:pStyle w:val="Compact"/>
            </w:pPr>
            <w:r>
              <w:t>18.7 ± 0.8</w:t>
            </w:r>
          </w:p>
        </w:tc>
        <w:tc>
          <w:tcPr>
            <w:tcW w:w="2105" w:type="dxa"/>
          </w:tcPr>
          <w:p w14:paraId="578B961F" w14:textId="77777777" w:rsidR="008905CC" w:rsidRDefault="007C3620">
            <w:pPr>
              <w:pStyle w:val="Compact"/>
            </w:pPr>
            <w:r>
              <w:t>8.1 ± 0.5</w:t>
            </w:r>
          </w:p>
        </w:tc>
      </w:tr>
      <w:tr w:rsidR="008905CC" w14:paraId="05FDC012" w14:textId="77777777">
        <w:tc>
          <w:tcPr>
            <w:tcW w:w="701" w:type="dxa"/>
          </w:tcPr>
          <w:p w14:paraId="3FF56517" w14:textId="77777777" w:rsidR="008905CC" w:rsidRDefault="007C3620">
            <w:pPr>
              <w:pStyle w:val="Compact"/>
            </w:pPr>
            <w:r>
              <w:t>SCJS</w:t>
            </w:r>
          </w:p>
        </w:tc>
        <w:tc>
          <w:tcPr>
            <w:tcW w:w="1503" w:type="dxa"/>
          </w:tcPr>
          <w:p w14:paraId="4433EB70" w14:textId="77777777" w:rsidR="008905CC" w:rsidRDefault="007C3620">
            <w:pPr>
              <w:pStyle w:val="Compact"/>
            </w:pPr>
            <w:r>
              <w:t>10.7 ± 1.1</w:t>
            </w:r>
          </w:p>
        </w:tc>
        <w:tc>
          <w:tcPr>
            <w:tcW w:w="1704" w:type="dxa"/>
          </w:tcPr>
          <w:p w14:paraId="16DBF77D" w14:textId="77777777" w:rsidR="008905CC" w:rsidRDefault="007C3620">
            <w:pPr>
              <w:pStyle w:val="Compact"/>
            </w:pPr>
            <w:r>
              <w:t>50.7 ± 1.8</w:t>
            </w:r>
          </w:p>
        </w:tc>
        <w:tc>
          <w:tcPr>
            <w:tcW w:w="1904" w:type="dxa"/>
          </w:tcPr>
          <w:p w14:paraId="0FB23B0C" w14:textId="77777777" w:rsidR="008905CC" w:rsidRDefault="007C3620">
            <w:pPr>
              <w:pStyle w:val="Compact"/>
            </w:pPr>
            <w:r>
              <w:t>23.2 ± 1.5</w:t>
            </w:r>
          </w:p>
        </w:tc>
        <w:tc>
          <w:tcPr>
            <w:tcW w:w="2105" w:type="dxa"/>
          </w:tcPr>
          <w:p w14:paraId="438FFD85" w14:textId="77777777" w:rsidR="008905CC" w:rsidRDefault="007C3620">
            <w:pPr>
              <w:pStyle w:val="Compact"/>
            </w:pPr>
            <w:r>
              <w:t>8.6 ± 1</w:t>
            </w:r>
          </w:p>
        </w:tc>
      </w:tr>
      <w:tr w:rsidR="008905CC" w14:paraId="787333E3" w14:textId="77777777">
        <w:tc>
          <w:tcPr>
            <w:tcW w:w="701" w:type="dxa"/>
          </w:tcPr>
          <w:p w14:paraId="72BE2377" w14:textId="77777777" w:rsidR="008905CC" w:rsidRDefault="007C3620">
            <w:pPr>
              <w:pStyle w:val="Compact"/>
            </w:pPr>
            <w:r>
              <w:t>SHS</w:t>
            </w:r>
          </w:p>
        </w:tc>
        <w:tc>
          <w:tcPr>
            <w:tcW w:w="1503" w:type="dxa"/>
          </w:tcPr>
          <w:p w14:paraId="03637D87" w14:textId="77777777" w:rsidR="008905CC" w:rsidRDefault="007C3620">
            <w:pPr>
              <w:pStyle w:val="Compact"/>
            </w:pPr>
            <w:r>
              <w:t>9.2 ± 0.7</w:t>
            </w:r>
          </w:p>
        </w:tc>
        <w:tc>
          <w:tcPr>
            <w:tcW w:w="1704" w:type="dxa"/>
          </w:tcPr>
          <w:p w14:paraId="1AD349BC" w14:textId="77777777" w:rsidR="008905CC" w:rsidRDefault="007C3620">
            <w:pPr>
              <w:pStyle w:val="Compact"/>
            </w:pPr>
            <w:r>
              <w:t>44.9 ± 1.2</w:t>
            </w:r>
          </w:p>
        </w:tc>
        <w:tc>
          <w:tcPr>
            <w:tcW w:w="1904" w:type="dxa"/>
          </w:tcPr>
          <w:p w14:paraId="36C072C9" w14:textId="77777777" w:rsidR="008905CC" w:rsidRDefault="007C3620">
            <w:pPr>
              <w:pStyle w:val="Compact"/>
            </w:pPr>
            <w:r>
              <w:t>16.6 ± 0.9</w:t>
            </w:r>
          </w:p>
        </w:tc>
        <w:tc>
          <w:tcPr>
            <w:tcW w:w="2105" w:type="dxa"/>
          </w:tcPr>
          <w:p w14:paraId="1000596C" w14:textId="77777777" w:rsidR="008905CC" w:rsidRDefault="007C3620">
            <w:pPr>
              <w:pStyle w:val="Compact"/>
            </w:pPr>
            <w:r>
              <w:t>7.9 ± 0.6</w:t>
            </w:r>
          </w:p>
        </w:tc>
      </w:tr>
    </w:tbl>
    <w:p w14:paraId="769A7962" w14:textId="77777777" w:rsidR="008905CC" w:rsidRDefault="007C3620">
      <w:pPr>
        <w:pStyle w:val="Heading3"/>
      </w:pPr>
      <w:bookmarkStart w:id="30" w:name="e-solve-crimes"/>
      <w:bookmarkEnd w:id="29"/>
      <w:r>
        <w:t>E: Solve crimes</w:t>
      </w:r>
    </w:p>
    <w:tbl>
      <w:tblPr>
        <w:tblStyle w:val="Table"/>
        <w:tblW w:w="5000" w:type="pct"/>
        <w:tblLayout w:type="fixed"/>
        <w:tblLook w:val="0020" w:firstRow="1" w:lastRow="0" w:firstColumn="0" w:lastColumn="0" w:noHBand="0" w:noVBand="0"/>
      </w:tblPr>
      <w:tblGrid>
        <w:gridCol w:w="848"/>
        <w:gridCol w:w="1818"/>
        <w:gridCol w:w="2061"/>
        <w:gridCol w:w="2303"/>
        <w:gridCol w:w="2546"/>
      </w:tblGrid>
      <w:tr w:rsidR="008905CC" w14:paraId="02096451"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01" w:type="dxa"/>
          </w:tcPr>
          <w:p w14:paraId="1F2F906D" w14:textId="77777777" w:rsidR="008905CC" w:rsidRDefault="007C3620">
            <w:pPr>
              <w:pStyle w:val="Compact"/>
            </w:pPr>
            <w:r>
              <w:t>Survey</w:t>
            </w:r>
          </w:p>
        </w:tc>
        <w:tc>
          <w:tcPr>
            <w:tcW w:w="1503" w:type="dxa"/>
          </w:tcPr>
          <w:p w14:paraId="7EC467C1" w14:textId="77777777" w:rsidR="008905CC" w:rsidRDefault="007C3620">
            <w:pPr>
              <w:pStyle w:val="Compact"/>
            </w:pPr>
            <w:r>
              <w:t>Very confident</w:t>
            </w:r>
          </w:p>
        </w:tc>
        <w:tc>
          <w:tcPr>
            <w:tcW w:w="1704" w:type="dxa"/>
          </w:tcPr>
          <w:p w14:paraId="4FCD663A" w14:textId="77777777" w:rsidR="008905CC" w:rsidRDefault="007C3620">
            <w:pPr>
              <w:pStyle w:val="Compact"/>
            </w:pPr>
            <w:r>
              <w:t>Fairly confident</w:t>
            </w:r>
          </w:p>
        </w:tc>
        <w:tc>
          <w:tcPr>
            <w:tcW w:w="1904" w:type="dxa"/>
          </w:tcPr>
          <w:p w14:paraId="15D79684" w14:textId="77777777" w:rsidR="008905CC" w:rsidRDefault="007C3620">
            <w:pPr>
              <w:pStyle w:val="Compact"/>
            </w:pPr>
            <w:r>
              <w:t>Not very confident</w:t>
            </w:r>
          </w:p>
        </w:tc>
        <w:tc>
          <w:tcPr>
            <w:tcW w:w="2105" w:type="dxa"/>
          </w:tcPr>
          <w:p w14:paraId="0AB5F875" w14:textId="77777777" w:rsidR="008905CC" w:rsidRDefault="007C3620">
            <w:pPr>
              <w:pStyle w:val="Compact"/>
            </w:pPr>
            <w:r>
              <w:t>Not at all confident</w:t>
            </w:r>
          </w:p>
        </w:tc>
      </w:tr>
      <w:tr w:rsidR="008905CC" w14:paraId="5C8EFBAD" w14:textId="77777777">
        <w:tc>
          <w:tcPr>
            <w:tcW w:w="701" w:type="dxa"/>
          </w:tcPr>
          <w:p w14:paraId="3D5A39AA" w14:textId="77777777" w:rsidR="008905CC" w:rsidRDefault="007C3620">
            <w:pPr>
              <w:pStyle w:val="Compact"/>
            </w:pPr>
            <w:r>
              <w:t>SSCQ</w:t>
            </w:r>
          </w:p>
        </w:tc>
        <w:tc>
          <w:tcPr>
            <w:tcW w:w="1503" w:type="dxa"/>
          </w:tcPr>
          <w:p w14:paraId="4962F81D" w14:textId="77777777" w:rsidR="008905CC" w:rsidRDefault="007C3620">
            <w:pPr>
              <w:pStyle w:val="Compact"/>
            </w:pPr>
            <w:r>
              <w:t>6.9 ± 0.5</w:t>
            </w:r>
          </w:p>
        </w:tc>
        <w:tc>
          <w:tcPr>
            <w:tcW w:w="1704" w:type="dxa"/>
          </w:tcPr>
          <w:p w14:paraId="74D55AB5" w14:textId="77777777" w:rsidR="008905CC" w:rsidRDefault="007C3620">
            <w:pPr>
              <w:pStyle w:val="Compact"/>
            </w:pPr>
            <w:r>
              <w:t>43.4 ± 1</w:t>
            </w:r>
          </w:p>
        </w:tc>
        <w:tc>
          <w:tcPr>
            <w:tcW w:w="1904" w:type="dxa"/>
          </w:tcPr>
          <w:p w14:paraId="3805BA5B" w14:textId="77777777" w:rsidR="008905CC" w:rsidRDefault="007C3620">
            <w:pPr>
              <w:pStyle w:val="Compact"/>
            </w:pPr>
            <w:r>
              <w:t>21.6 ± 0.8</w:t>
            </w:r>
          </w:p>
        </w:tc>
        <w:tc>
          <w:tcPr>
            <w:tcW w:w="2105" w:type="dxa"/>
          </w:tcPr>
          <w:p w14:paraId="4ECAFE6A" w14:textId="77777777" w:rsidR="008905CC" w:rsidRDefault="007C3620">
            <w:pPr>
              <w:pStyle w:val="Compact"/>
            </w:pPr>
            <w:r>
              <w:t>8.3 ± 0.5</w:t>
            </w:r>
          </w:p>
        </w:tc>
      </w:tr>
      <w:tr w:rsidR="008905CC" w14:paraId="41B8C531" w14:textId="77777777">
        <w:tc>
          <w:tcPr>
            <w:tcW w:w="701" w:type="dxa"/>
          </w:tcPr>
          <w:p w14:paraId="745A0D83" w14:textId="77777777" w:rsidR="008905CC" w:rsidRDefault="007C3620">
            <w:pPr>
              <w:pStyle w:val="Compact"/>
            </w:pPr>
            <w:r>
              <w:t>SCJS</w:t>
            </w:r>
          </w:p>
        </w:tc>
        <w:tc>
          <w:tcPr>
            <w:tcW w:w="1503" w:type="dxa"/>
          </w:tcPr>
          <w:p w14:paraId="3DC5497C" w14:textId="77777777" w:rsidR="008905CC" w:rsidRDefault="007C3620">
            <w:pPr>
              <w:pStyle w:val="Compact"/>
            </w:pPr>
            <w:r>
              <w:t>6.4 ± 0.9</w:t>
            </w:r>
          </w:p>
        </w:tc>
        <w:tc>
          <w:tcPr>
            <w:tcW w:w="1704" w:type="dxa"/>
          </w:tcPr>
          <w:p w14:paraId="54A0ED4B" w14:textId="77777777" w:rsidR="008905CC" w:rsidRDefault="007C3620">
            <w:pPr>
              <w:pStyle w:val="Compact"/>
            </w:pPr>
            <w:r>
              <w:t>48.8 ± 1.8</w:t>
            </w:r>
          </w:p>
        </w:tc>
        <w:tc>
          <w:tcPr>
            <w:tcW w:w="1904" w:type="dxa"/>
          </w:tcPr>
          <w:p w14:paraId="3CBC2885" w14:textId="77777777" w:rsidR="008905CC" w:rsidRDefault="007C3620">
            <w:pPr>
              <w:pStyle w:val="Compact"/>
            </w:pPr>
            <w:r>
              <w:t>28.2 ± 1.6</w:t>
            </w:r>
          </w:p>
        </w:tc>
        <w:tc>
          <w:tcPr>
            <w:tcW w:w="2105" w:type="dxa"/>
          </w:tcPr>
          <w:p w14:paraId="196B3ABB" w14:textId="77777777" w:rsidR="008905CC" w:rsidRDefault="007C3620">
            <w:pPr>
              <w:pStyle w:val="Compact"/>
            </w:pPr>
            <w:r>
              <w:t>7.3 ± 0.9</w:t>
            </w:r>
          </w:p>
        </w:tc>
      </w:tr>
      <w:tr w:rsidR="008905CC" w14:paraId="1C403285" w14:textId="77777777">
        <w:tc>
          <w:tcPr>
            <w:tcW w:w="701" w:type="dxa"/>
          </w:tcPr>
          <w:p w14:paraId="6871B78C" w14:textId="77777777" w:rsidR="008905CC" w:rsidRDefault="007C3620">
            <w:pPr>
              <w:pStyle w:val="Compact"/>
            </w:pPr>
            <w:r>
              <w:t>SHS</w:t>
            </w:r>
          </w:p>
        </w:tc>
        <w:tc>
          <w:tcPr>
            <w:tcW w:w="1503" w:type="dxa"/>
          </w:tcPr>
          <w:p w14:paraId="6D9B7263" w14:textId="77777777" w:rsidR="008905CC" w:rsidRDefault="007C3620">
            <w:pPr>
              <w:pStyle w:val="Compact"/>
            </w:pPr>
            <w:r>
              <w:t>7.1 ± 0.6</w:t>
            </w:r>
          </w:p>
        </w:tc>
        <w:tc>
          <w:tcPr>
            <w:tcW w:w="1704" w:type="dxa"/>
          </w:tcPr>
          <w:p w14:paraId="7F803BD1" w14:textId="77777777" w:rsidR="008905CC" w:rsidRDefault="007C3620">
            <w:pPr>
              <w:pStyle w:val="Compact"/>
            </w:pPr>
            <w:r>
              <w:t>40.9 ± 1.2</w:t>
            </w:r>
          </w:p>
        </w:tc>
        <w:tc>
          <w:tcPr>
            <w:tcW w:w="1904" w:type="dxa"/>
          </w:tcPr>
          <w:p w14:paraId="7583CADE" w14:textId="77777777" w:rsidR="008905CC" w:rsidRDefault="007C3620">
            <w:pPr>
              <w:pStyle w:val="Compact"/>
            </w:pPr>
            <w:r>
              <w:t>18.6 ± 0.9</w:t>
            </w:r>
          </w:p>
        </w:tc>
        <w:tc>
          <w:tcPr>
            <w:tcW w:w="2105" w:type="dxa"/>
          </w:tcPr>
          <w:p w14:paraId="5C0A8FEC" w14:textId="77777777" w:rsidR="008905CC" w:rsidRDefault="007C3620">
            <w:pPr>
              <w:pStyle w:val="Compact"/>
            </w:pPr>
            <w:r>
              <w:t>8.8 ± 0.7</w:t>
            </w:r>
          </w:p>
        </w:tc>
      </w:tr>
    </w:tbl>
    <w:p w14:paraId="65DECD5D" w14:textId="77777777" w:rsidR="008905CC" w:rsidRDefault="007C3620">
      <w:pPr>
        <w:pStyle w:val="Heading3"/>
      </w:pPr>
      <w:bookmarkStart w:id="31" w:name="f-catch-criminals"/>
      <w:bookmarkEnd w:id="30"/>
      <w:r>
        <w:t>F: Catch criminals</w:t>
      </w:r>
    </w:p>
    <w:tbl>
      <w:tblPr>
        <w:tblStyle w:val="Table"/>
        <w:tblW w:w="5000" w:type="pct"/>
        <w:tblLayout w:type="fixed"/>
        <w:tblLook w:val="0020" w:firstRow="1" w:lastRow="0" w:firstColumn="0" w:lastColumn="0" w:noHBand="0" w:noVBand="0"/>
      </w:tblPr>
      <w:tblGrid>
        <w:gridCol w:w="848"/>
        <w:gridCol w:w="1818"/>
        <w:gridCol w:w="2061"/>
        <w:gridCol w:w="2303"/>
        <w:gridCol w:w="2546"/>
      </w:tblGrid>
      <w:tr w:rsidR="008905CC" w14:paraId="6154A250" w14:textId="77777777" w:rsidTr="008905CC">
        <w:trPr>
          <w:cnfStyle w:val="100000000000" w:firstRow="1" w:lastRow="0" w:firstColumn="0" w:lastColumn="0" w:oddVBand="0" w:evenVBand="0" w:oddHBand="0" w:evenHBand="0" w:firstRowFirstColumn="0" w:firstRowLastColumn="0" w:lastRowFirstColumn="0" w:lastRowLastColumn="0"/>
          <w:tblHeader/>
        </w:trPr>
        <w:tc>
          <w:tcPr>
            <w:tcW w:w="701" w:type="dxa"/>
          </w:tcPr>
          <w:p w14:paraId="2F7959B4" w14:textId="77777777" w:rsidR="008905CC" w:rsidRDefault="007C3620">
            <w:pPr>
              <w:pStyle w:val="Compact"/>
            </w:pPr>
            <w:r>
              <w:t>Survey</w:t>
            </w:r>
          </w:p>
        </w:tc>
        <w:tc>
          <w:tcPr>
            <w:tcW w:w="1503" w:type="dxa"/>
          </w:tcPr>
          <w:p w14:paraId="5D731DF7" w14:textId="77777777" w:rsidR="008905CC" w:rsidRDefault="007C3620">
            <w:pPr>
              <w:pStyle w:val="Compact"/>
            </w:pPr>
            <w:r>
              <w:t>Very confident</w:t>
            </w:r>
          </w:p>
        </w:tc>
        <w:tc>
          <w:tcPr>
            <w:tcW w:w="1704" w:type="dxa"/>
          </w:tcPr>
          <w:p w14:paraId="245162D3" w14:textId="77777777" w:rsidR="008905CC" w:rsidRDefault="007C3620">
            <w:pPr>
              <w:pStyle w:val="Compact"/>
            </w:pPr>
            <w:r>
              <w:t>Fairly confident</w:t>
            </w:r>
          </w:p>
        </w:tc>
        <w:tc>
          <w:tcPr>
            <w:tcW w:w="1904" w:type="dxa"/>
          </w:tcPr>
          <w:p w14:paraId="6149072D" w14:textId="77777777" w:rsidR="008905CC" w:rsidRDefault="007C3620">
            <w:pPr>
              <w:pStyle w:val="Compact"/>
            </w:pPr>
            <w:r>
              <w:t>Not very confident</w:t>
            </w:r>
          </w:p>
        </w:tc>
        <w:tc>
          <w:tcPr>
            <w:tcW w:w="2105" w:type="dxa"/>
          </w:tcPr>
          <w:p w14:paraId="49A530F9" w14:textId="77777777" w:rsidR="008905CC" w:rsidRDefault="007C3620">
            <w:pPr>
              <w:pStyle w:val="Compact"/>
            </w:pPr>
            <w:r>
              <w:t>Not at all confident</w:t>
            </w:r>
          </w:p>
        </w:tc>
      </w:tr>
      <w:tr w:rsidR="008905CC" w14:paraId="15A1EA03" w14:textId="77777777">
        <w:tc>
          <w:tcPr>
            <w:tcW w:w="701" w:type="dxa"/>
          </w:tcPr>
          <w:p w14:paraId="06E3B972" w14:textId="77777777" w:rsidR="008905CC" w:rsidRDefault="007C3620">
            <w:pPr>
              <w:pStyle w:val="Compact"/>
            </w:pPr>
            <w:r>
              <w:t>SSCQ</w:t>
            </w:r>
          </w:p>
        </w:tc>
        <w:tc>
          <w:tcPr>
            <w:tcW w:w="1503" w:type="dxa"/>
          </w:tcPr>
          <w:p w14:paraId="694E10D8" w14:textId="77777777" w:rsidR="008905CC" w:rsidRDefault="007C3620">
            <w:pPr>
              <w:pStyle w:val="Compact"/>
            </w:pPr>
            <w:r>
              <w:t>6.8 ± 0.5</w:t>
            </w:r>
          </w:p>
        </w:tc>
        <w:tc>
          <w:tcPr>
            <w:tcW w:w="1704" w:type="dxa"/>
          </w:tcPr>
          <w:p w14:paraId="72E924C7" w14:textId="77777777" w:rsidR="008905CC" w:rsidRDefault="007C3620">
            <w:pPr>
              <w:pStyle w:val="Compact"/>
            </w:pPr>
            <w:r>
              <w:t>42.4 ± 1</w:t>
            </w:r>
          </w:p>
        </w:tc>
        <w:tc>
          <w:tcPr>
            <w:tcW w:w="1904" w:type="dxa"/>
          </w:tcPr>
          <w:p w14:paraId="7534DF39" w14:textId="77777777" w:rsidR="008905CC" w:rsidRDefault="007C3620">
            <w:pPr>
              <w:pStyle w:val="Compact"/>
            </w:pPr>
            <w:r>
              <w:t>22.5 ± 0.8</w:t>
            </w:r>
          </w:p>
        </w:tc>
        <w:tc>
          <w:tcPr>
            <w:tcW w:w="2105" w:type="dxa"/>
          </w:tcPr>
          <w:p w14:paraId="08649482" w14:textId="77777777" w:rsidR="008905CC" w:rsidRDefault="007C3620">
            <w:pPr>
              <w:pStyle w:val="Compact"/>
            </w:pPr>
            <w:r>
              <w:t>9 ± 0.6</w:t>
            </w:r>
          </w:p>
        </w:tc>
      </w:tr>
      <w:tr w:rsidR="008905CC" w14:paraId="26B1B269" w14:textId="77777777">
        <w:tc>
          <w:tcPr>
            <w:tcW w:w="701" w:type="dxa"/>
          </w:tcPr>
          <w:p w14:paraId="7F9B4410" w14:textId="77777777" w:rsidR="008905CC" w:rsidRDefault="007C3620">
            <w:pPr>
              <w:pStyle w:val="Compact"/>
            </w:pPr>
            <w:r>
              <w:t>SCJS</w:t>
            </w:r>
          </w:p>
        </w:tc>
        <w:tc>
          <w:tcPr>
            <w:tcW w:w="1503" w:type="dxa"/>
          </w:tcPr>
          <w:p w14:paraId="028F04E4" w14:textId="77777777" w:rsidR="008905CC" w:rsidRDefault="007C3620">
            <w:pPr>
              <w:pStyle w:val="Compact"/>
            </w:pPr>
            <w:r>
              <w:t>6.2 ± 0.9</w:t>
            </w:r>
          </w:p>
        </w:tc>
        <w:tc>
          <w:tcPr>
            <w:tcW w:w="1704" w:type="dxa"/>
          </w:tcPr>
          <w:p w14:paraId="43BB41AB" w14:textId="77777777" w:rsidR="008905CC" w:rsidRDefault="007C3620">
            <w:pPr>
              <w:pStyle w:val="Compact"/>
            </w:pPr>
            <w:r>
              <w:t>46.4 ± 1.8</w:t>
            </w:r>
          </w:p>
        </w:tc>
        <w:tc>
          <w:tcPr>
            <w:tcW w:w="1904" w:type="dxa"/>
          </w:tcPr>
          <w:p w14:paraId="01D328B9" w14:textId="77777777" w:rsidR="008905CC" w:rsidRDefault="007C3620">
            <w:pPr>
              <w:pStyle w:val="Compact"/>
            </w:pPr>
            <w:r>
              <w:t>30 ± 1.6</w:t>
            </w:r>
          </w:p>
        </w:tc>
        <w:tc>
          <w:tcPr>
            <w:tcW w:w="2105" w:type="dxa"/>
          </w:tcPr>
          <w:p w14:paraId="1CCE0565" w14:textId="77777777" w:rsidR="008905CC" w:rsidRDefault="007C3620">
            <w:pPr>
              <w:pStyle w:val="Compact"/>
            </w:pPr>
            <w:r>
              <w:t>8.2 ± 1</w:t>
            </w:r>
          </w:p>
        </w:tc>
      </w:tr>
      <w:tr w:rsidR="008905CC" w14:paraId="59211EE4" w14:textId="77777777">
        <w:tc>
          <w:tcPr>
            <w:tcW w:w="701" w:type="dxa"/>
          </w:tcPr>
          <w:p w14:paraId="0A1631E7" w14:textId="77777777" w:rsidR="008905CC" w:rsidRDefault="007C3620">
            <w:pPr>
              <w:pStyle w:val="Compact"/>
            </w:pPr>
            <w:r>
              <w:t>SHS</w:t>
            </w:r>
          </w:p>
        </w:tc>
        <w:tc>
          <w:tcPr>
            <w:tcW w:w="1503" w:type="dxa"/>
          </w:tcPr>
          <w:p w14:paraId="10851089" w14:textId="77777777" w:rsidR="008905CC" w:rsidRDefault="007C3620">
            <w:pPr>
              <w:pStyle w:val="Compact"/>
            </w:pPr>
            <w:r>
              <w:t>7.1 ± 0.7</w:t>
            </w:r>
          </w:p>
        </w:tc>
        <w:tc>
          <w:tcPr>
            <w:tcW w:w="1704" w:type="dxa"/>
          </w:tcPr>
          <w:p w14:paraId="5BD8124A" w14:textId="77777777" w:rsidR="008905CC" w:rsidRDefault="007C3620">
            <w:pPr>
              <w:pStyle w:val="Compact"/>
            </w:pPr>
            <w:r>
              <w:t>40.6 ± 1.2</w:t>
            </w:r>
          </w:p>
        </w:tc>
        <w:tc>
          <w:tcPr>
            <w:tcW w:w="1904" w:type="dxa"/>
          </w:tcPr>
          <w:p w14:paraId="0B427568" w14:textId="77777777" w:rsidR="008905CC" w:rsidRDefault="007C3620">
            <w:pPr>
              <w:pStyle w:val="Compact"/>
            </w:pPr>
            <w:r>
              <w:t>19 ± 0.9</w:t>
            </w:r>
          </w:p>
        </w:tc>
        <w:tc>
          <w:tcPr>
            <w:tcW w:w="2105" w:type="dxa"/>
          </w:tcPr>
          <w:p w14:paraId="0F9EC610" w14:textId="77777777" w:rsidR="008905CC" w:rsidRDefault="007C3620">
            <w:pPr>
              <w:pStyle w:val="Compact"/>
            </w:pPr>
            <w:r>
              <w:t>9.4 ± 0.7</w:t>
            </w:r>
          </w:p>
        </w:tc>
      </w:tr>
    </w:tbl>
    <w:p w14:paraId="66AAEAD1" w14:textId="77777777" w:rsidR="008905CC" w:rsidRDefault="007C3620">
      <w:r>
        <w:br w:type="page"/>
      </w:r>
    </w:p>
    <w:p w14:paraId="45FF3389" w14:textId="77777777" w:rsidR="008905CC" w:rsidRDefault="007C3620">
      <w:pPr>
        <w:pStyle w:val="Heading1"/>
      </w:pPr>
      <w:bookmarkStart w:id="32" w:name="tell-us-what-you-think"/>
      <w:bookmarkEnd w:id="31"/>
      <w:bookmarkEnd w:id="25"/>
      <w:bookmarkEnd w:id="16"/>
      <w:r>
        <w:lastRenderedPageBreak/>
        <w:t>Tell Us What You Think</w:t>
      </w:r>
    </w:p>
    <w:p w14:paraId="6A68DFEA" w14:textId="77777777" w:rsidR="008905CC" w:rsidRDefault="007C3620">
      <w:pPr>
        <w:pStyle w:val="FirstParagraph"/>
      </w:pPr>
      <w:r>
        <w:t>We are always interested to hear from our users about how our statistics are used, and how they can be improved.</w:t>
      </w:r>
    </w:p>
    <w:p w14:paraId="54630958" w14:textId="77777777" w:rsidR="008905CC" w:rsidRDefault="007C3620">
      <w:pPr>
        <w:pStyle w:val="BodyText"/>
      </w:pPr>
      <w:r>
        <w:rPr>
          <w:b/>
          <w:bCs/>
        </w:rPr>
        <w:t>Enquiries</w:t>
      </w:r>
    </w:p>
    <w:p w14:paraId="766A600A" w14:textId="77777777" w:rsidR="008905CC" w:rsidRDefault="007C3620">
      <w:pPr>
        <w:pStyle w:val="BodyText"/>
      </w:pPr>
      <w:r>
        <w:t>For enquiries about this publication, please contact:</w:t>
      </w:r>
    </w:p>
    <w:p w14:paraId="69F34F20" w14:textId="77777777" w:rsidR="008905CC" w:rsidRDefault="007C3620">
      <w:pPr>
        <w:pStyle w:val="BodyText"/>
      </w:pPr>
      <w:r>
        <w:t>The Survey Strategy and Coordination Team in the Office of the Chief Statistician E-mail: sscq@gov.scot (make hyperlink?)</w:t>
      </w:r>
    </w:p>
    <w:p w14:paraId="362F6341" w14:textId="77777777" w:rsidR="008905CC" w:rsidRDefault="007C3620">
      <w:pPr>
        <w:pStyle w:val="BodyText"/>
      </w:pPr>
      <w:r>
        <w:t>For general enquiries about Scottish Government statistics, please contact: Office of the Chief Statistician E-mail: statistics.enquiries@gov.scot (make hyperlink?)</w:t>
      </w:r>
    </w:p>
    <w:p w14:paraId="52FF8C47" w14:textId="77777777" w:rsidR="008905CC" w:rsidRDefault="007C3620">
      <w:pPr>
        <w:pStyle w:val="BodyText"/>
      </w:pPr>
      <w:r>
        <w:rPr>
          <w:b/>
          <w:bCs/>
        </w:rPr>
        <w:t>Join our mailing list</w:t>
      </w:r>
    </w:p>
    <w:p w14:paraId="30B56D90" w14:textId="77777777" w:rsidR="008905CC" w:rsidRDefault="007C3620">
      <w:pPr>
        <w:pStyle w:val="BodyText"/>
      </w:pPr>
      <w:r>
        <w:t xml:space="preserve">If you would like to receive notification about statistical publications, or find out about consultations on our statistics, please join the </w:t>
      </w:r>
      <w:hyperlink r:id="rId27">
        <w:r>
          <w:rPr>
            <w:rStyle w:val="Hyperlink"/>
          </w:rPr>
          <w:t>ScotStat mailing list</w:t>
        </w:r>
      </w:hyperlink>
      <w:r>
        <w:t>.</w:t>
      </w:r>
    </w:p>
    <w:p w14:paraId="3B390B20" w14:textId="77777777" w:rsidR="008905CC" w:rsidRDefault="007C3620">
      <w:pPr>
        <w:pStyle w:val="BodyText"/>
      </w:pPr>
      <w:r>
        <w:rPr>
          <w:b/>
          <w:bCs/>
        </w:rPr>
        <w:t>Future publications</w:t>
      </w:r>
    </w:p>
    <w:p w14:paraId="166C8DFD" w14:textId="77777777" w:rsidR="008905CC" w:rsidRDefault="007C3620">
      <w:pPr>
        <w:pStyle w:val="BodyText"/>
      </w:pPr>
      <w:r>
        <w:t xml:space="preserve">Details of future publications can be found on our </w:t>
      </w:r>
      <w:hyperlink r:id="rId28">
        <w:r>
          <w:rPr>
            <w:rStyle w:val="Hyperlink"/>
          </w:rPr>
          <w:t>forthcoming publications</w:t>
        </w:r>
      </w:hyperlink>
      <w:r>
        <w:t xml:space="preserve"> page.</w:t>
      </w:r>
    </w:p>
    <w:bookmarkEnd w:id="32"/>
    <w:sectPr w:rsidR="008905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64A7F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AD87C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28E0D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1"/>
    <w:multiLevelType w:val="multilevel"/>
    <w:tmpl w:val="429E21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4975340">
    <w:abstractNumId w:val="0"/>
  </w:num>
  <w:num w:numId="2" w16cid:durableId="1697580689">
    <w:abstractNumId w:val="1"/>
  </w:num>
  <w:num w:numId="3" w16cid:durableId="1824463170">
    <w:abstractNumId w:val="1"/>
  </w:num>
  <w:num w:numId="4" w16cid:durableId="1598631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5105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05CC"/>
    <w:rsid w:val="00121F12"/>
    <w:rsid w:val="0050509E"/>
    <w:rsid w:val="007C3620"/>
    <w:rsid w:val="007E4471"/>
    <w:rsid w:val="00873BAD"/>
    <w:rsid w:val="008905CC"/>
    <w:rsid w:val="00D6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6D18"/>
  <w15:docId w15:val="{C8128335-B372-4964-AC94-D550418F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7E447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collections/scottish-household-survey-publications/" TargetMode="External"/><Relationship Id="rId13" Type="http://schemas.openxmlformats.org/officeDocument/2006/relationships/hyperlink" Target="https://www.gov.scot/collections/scottish-household-survey-publications/" TargetMode="External"/><Relationship Id="rId18" Type="http://schemas.openxmlformats.org/officeDocument/2006/relationships/hyperlink" Target="https://www.gov.scot/publications/scottish-health-survey-2023-volume-2-technical-report/" TargetMode="External"/><Relationship Id="rId26" Type="http://schemas.openxmlformats.org/officeDocument/2006/relationships/hyperlink" Target="insert%20hyper%20link%20here" TargetMode="External"/><Relationship Id="rId3" Type="http://schemas.openxmlformats.org/officeDocument/2006/relationships/settings" Target="settings.xml"/><Relationship Id="rId21" Type="http://schemas.openxmlformats.org/officeDocument/2006/relationships/hyperlink" Target="https://warwick.ac.uk/fac/sci/med/research/platform/wemwbs/using/howto/swemwbs_raw_score_to_metric_score_conversion_table.pdf" TargetMode="External"/><Relationship Id="rId7" Type="http://schemas.openxmlformats.org/officeDocument/2006/relationships/hyperlink" Target="https://www.gov.scot/collections/scottish-health-survey/" TargetMode="External"/><Relationship Id="rId12" Type="http://schemas.openxmlformats.org/officeDocument/2006/relationships/hyperlink" Target="https://www.gov.scot/collections/scottish-health-survey/" TargetMode="External"/><Relationship Id="rId17" Type="http://schemas.openxmlformats.org/officeDocument/2006/relationships/hyperlink" Target="https://webarchive.nrscotland.gov.uk/20201110103716/http:/www.gov.scot/Topics/Statistics/About/Methodology/confinv" TargetMode="External"/><Relationship Id="rId25" Type="http://schemas.openxmlformats.org/officeDocument/2006/relationships/hyperlink" Target="insert%20hyperlink%20here" TargetMode="External"/><Relationship Id="rId2" Type="http://schemas.openxmlformats.org/officeDocument/2006/relationships/styles" Target="styles.xml"/><Relationship Id="rId16" Type="http://schemas.openxmlformats.org/officeDocument/2006/relationships/hyperlink" Target="hyperlink%20here" TargetMode="External"/><Relationship Id="rId20" Type="http://schemas.openxmlformats.org/officeDocument/2006/relationships/hyperlink" Target="https://warwick.ac.uk/fac/sci/med/research/platform/wemwbs/using/howt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v.scot/collections/scottish-crime-and-justice-survey/" TargetMode="External"/><Relationship Id="rId11" Type="http://schemas.openxmlformats.org/officeDocument/2006/relationships/hyperlink" Target="https://www.gov.scot/collections/scottish-crime-and-justice-survey/" TargetMode="External"/><Relationship Id="rId24" Type="http://schemas.openxmlformats.org/officeDocument/2006/relationships/hyperlink" Target="https://osr.statisticsauthority.gov.uk/policies/official-statistics-policies/official-statistics-in-development/" TargetMode="External"/><Relationship Id="rId5" Type="http://schemas.openxmlformats.org/officeDocument/2006/relationships/hyperlink" Target="https://www.gov.scot/collections/scottish-surveys-core-questions/" TargetMode="External"/><Relationship Id="rId15" Type="http://schemas.openxmlformats.org/officeDocument/2006/relationships/hyperlink" Target="hyperlink%20here" TargetMode="External"/><Relationship Id="rId23" Type="http://schemas.openxmlformats.org/officeDocument/2006/relationships/hyperlink" Target="https://www.gov.scot/publications/data-collection-publication-guidance-sex-gender-identity-trans-status/" TargetMode="External"/><Relationship Id="rId28" Type="http://schemas.openxmlformats.org/officeDocument/2006/relationships/hyperlink" Target="https://www.gov.scot/publications/official-statistics-forthcoming-publications/" TargetMode="External"/><Relationship Id="rId10" Type="http://schemas.openxmlformats.org/officeDocument/2006/relationships/hyperlink" Target="https://www.gov.scot/collections/scottish-surveys-core-questions/" TargetMode="External"/><Relationship Id="rId19" Type="http://schemas.openxmlformats.org/officeDocument/2006/relationships/hyperlink" Target="https://warwick.ac.uk/fac/sci/med/research/platform/wemwbs" TargetMode="External"/><Relationship Id="rId4" Type="http://schemas.openxmlformats.org/officeDocument/2006/relationships/webSettings" Target="webSettings.xml"/><Relationship Id="rId9" Type="http://schemas.openxmlformats.org/officeDocument/2006/relationships/hyperlink" Target="https://www.gov.scot/collections/population-surveys-in-scotland/" TargetMode="External"/><Relationship Id="rId14" Type="http://schemas.openxmlformats.org/officeDocument/2006/relationships/hyperlink" Target="https://www.gov.scot/publications/scottish-surveys-core-questions-2019/" TargetMode="External"/><Relationship Id="rId22" Type="http://schemas.openxmlformats.org/officeDocument/2006/relationships/hyperlink" Target="https://www.gov.scot/publications/data-collection-publication-guidance-sex-gender-identity-trans-status/" TargetMode="External"/><Relationship Id="rId27" Type="http://schemas.openxmlformats.org/officeDocument/2006/relationships/hyperlink" Target="https://www.gov.scot/publications/scotstat-register-guida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Scottish Surveys Core Questions 2023</vt:lpstr>
    </vt:vector>
  </TitlesOfParts>
  <Company/>
  <LinksUpToDate>false</LinksUpToDate>
  <CharactersWithSpaces>27401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Scottish Surveys Core Questions 2023</dc:title>
  <dc:creator/>
  <cp:keywords/>
  <cp:lastModifiedBy>Clodagh Smith</cp:lastModifiedBy>
  <cp:revision>5</cp:revision>
  <dcterms:created xsi:type="dcterms:W3CDTF">2025-02-17T12:46:00Z</dcterms:created>
  <dcterms:modified xsi:type="dcterms:W3CDTF">2025-02-19T09:52:00Z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knitr">
    <vt:lpwstr/>
  </property>
  <property fmtid="{D5CDD505-2E9C-101B-9397-08002B2CF9AE}" pid="8" name="labels">
    <vt:lpwstr/>
  </property>
  <property fmtid="{D5CDD505-2E9C-101B-9397-08002B2CF9AE}" pid="9" name="subtitle">
    <vt:lpwstr>Technical Report</vt:lpwstr>
  </property>
  <property fmtid="{D5CDD505-2E9C-101B-9397-08002B2CF9AE}" pid="10" name="toc-title">
    <vt:lpwstr>Table of contents</vt:lpwstr>
  </property>
</Properties>
</file>