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com.example.demo.config;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jakarta.persistence.EntityManagerFactory;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org.springframework.context.annotation.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Bean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org.springframework.context.annotation.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Configuration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org.springframework.data.jpa.repository.config.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EnableJpaRepositories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org.springframework.orm.jpa.JpaTransactionManager;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org.springframework.orm.jpa.LocalContainerEntityManagerFactoryBean;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org.springframework.orm.jpa.vendor.HibernateJpaVendorAdapter;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javax.sql.DataSource;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@Configuration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@EnableJpaRepositories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(basePackages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"com.example.demo.repository"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DBConfig {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@Bean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LocalContainerEntityManagerFactoryBean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entityManagerFactory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DataSource dataSource, HibernateJpaVendorAdapter jpaVendorAdapter) {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LocalContainerEntityManagerFactoryBean em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LocalContainerEntityManagerFactoryBean();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em.setDataSource(dataSource);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em.setPackagesToScan(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"com.example.demo.repository"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em.setJpaVendorAdapter(jpaVendorAdapter);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em;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@Bean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JpaTransactionManager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transactionManager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(EntityManagerFactory entityManagerFactory) {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JpaTransactionManager transactionManager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JpaTransactionManager();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transactionManager.setEntityManagerFactory(entityManagerFactory);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transactionManager;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@Bean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HibernateJpaVendorAdapter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jpaVendorAdapter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 Configure JPA vendor adapter properties if needed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HibernateJpaVendorAdapter();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