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B47C2" w14:textId="0EB65F9E" w:rsidR="008B5599" w:rsidRDefault="00AB2BEA">
      <w:pPr>
        <w:pStyle w:val="Title"/>
      </w:pPr>
      <w:r>
        <w:rPr>
          <w:color w:val="333333"/>
        </w:rPr>
        <w:t>Briefly outline</w:t>
      </w:r>
      <w:r w:rsidR="006D7142">
        <w:rPr>
          <w:color w:val="333333"/>
          <w:spacing w:val="-5"/>
        </w:rPr>
        <w:t xml:space="preserve"> </w:t>
      </w:r>
      <w:r w:rsidR="006D7142">
        <w:rPr>
          <w:color w:val="333333"/>
        </w:rPr>
        <w:t>the</w:t>
      </w:r>
      <w:r w:rsidR="006D7142">
        <w:rPr>
          <w:color w:val="333333"/>
          <w:spacing w:val="-5"/>
        </w:rPr>
        <w:t xml:space="preserve"> </w:t>
      </w:r>
      <w:r w:rsidR="006D7142">
        <w:rPr>
          <w:color w:val="333333"/>
        </w:rPr>
        <w:t>background</w:t>
      </w:r>
      <w:r w:rsidR="006D7142">
        <w:rPr>
          <w:color w:val="333333"/>
          <w:spacing w:val="-5"/>
        </w:rPr>
        <w:t xml:space="preserve"> </w:t>
      </w:r>
      <w:r w:rsidR="006D7142">
        <w:rPr>
          <w:color w:val="333333"/>
        </w:rPr>
        <w:t>to</w:t>
      </w:r>
      <w:r w:rsidR="006D7142">
        <w:rPr>
          <w:color w:val="333333"/>
          <w:spacing w:val="-6"/>
        </w:rPr>
        <w:t xml:space="preserve"> </w:t>
      </w:r>
      <w:r w:rsidR="006D7142">
        <w:rPr>
          <w:color w:val="333333"/>
        </w:rPr>
        <w:t>and</w:t>
      </w:r>
      <w:r w:rsidR="006D7142">
        <w:rPr>
          <w:color w:val="333333"/>
          <w:spacing w:val="-5"/>
        </w:rPr>
        <w:t xml:space="preserve"> </w:t>
      </w:r>
      <w:r w:rsidR="006D7142">
        <w:rPr>
          <w:color w:val="333333"/>
        </w:rPr>
        <w:t>the</w:t>
      </w:r>
      <w:r w:rsidR="006D7142">
        <w:rPr>
          <w:color w:val="333333"/>
          <w:spacing w:val="-5"/>
        </w:rPr>
        <w:t xml:space="preserve"> </w:t>
      </w:r>
      <w:r w:rsidR="006D7142">
        <w:rPr>
          <w:color w:val="333333"/>
        </w:rPr>
        <w:t>aims</w:t>
      </w:r>
      <w:r w:rsidR="006D7142">
        <w:rPr>
          <w:color w:val="333333"/>
          <w:spacing w:val="-5"/>
        </w:rPr>
        <w:t xml:space="preserve"> </w:t>
      </w:r>
      <w:r w:rsidR="006D7142">
        <w:rPr>
          <w:color w:val="333333"/>
        </w:rPr>
        <w:t>of</w:t>
      </w:r>
      <w:r w:rsidR="006D7142">
        <w:rPr>
          <w:color w:val="333333"/>
          <w:spacing w:val="-6"/>
        </w:rPr>
        <w:t xml:space="preserve"> </w:t>
      </w:r>
      <w:r w:rsidR="006D7142">
        <w:rPr>
          <w:color w:val="333333"/>
        </w:rPr>
        <w:t>the</w:t>
      </w:r>
      <w:r w:rsidR="006D7142">
        <w:rPr>
          <w:color w:val="333333"/>
          <w:spacing w:val="-5"/>
        </w:rPr>
        <w:t xml:space="preserve"> </w:t>
      </w:r>
      <w:r w:rsidR="006D7142">
        <w:rPr>
          <w:color w:val="333333"/>
        </w:rPr>
        <w:t>project</w:t>
      </w:r>
      <w:r w:rsidR="006D7142">
        <w:rPr>
          <w:color w:val="333333"/>
          <w:spacing w:val="-5"/>
        </w:rPr>
        <w:t xml:space="preserve"> </w:t>
      </w:r>
      <w:r w:rsidR="006D7142">
        <w:rPr>
          <w:color w:val="333333"/>
        </w:rPr>
        <w:t>(500</w:t>
      </w:r>
      <w:r w:rsidR="006D7142">
        <w:rPr>
          <w:color w:val="333333"/>
          <w:spacing w:val="-5"/>
        </w:rPr>
        <w:t xml:space="preserve"> </w:t>
      </w:r>
      <w:r w:rsidR="006D7142">
        <w:rPr>
          <w:color w:val="333333"/>
        </w:rPr>
        <w:t>words</w:t>
      </w:r>
      <w:r w:rsidR="006D7142">
        <w:rPr>
          <w:color w:val="333333"/>
          <w:spacing w:val="-5"/>
        </w:rPr>
        <w:t xml:space="preserve"> </w:t>
      </w:r>
      <w:r w:rsidR="006D7142">
        <w:rPr>
          <w:color w:val="333333"/>
          <w:spacing w:val="-2"/>
        </w:rPr>
        <w:t>max):</w:t>
      </w:r>
    </w:p>
    <w:p w14:paraId="17BCD48A" w14:textId="77777777" w:rsidR="008B5599" w:rsidRPr="00C06C94" w:rsidRDefault="008B5599">
      <w:pPr>
        <w:pStyle w:val="BodyText"/>
        <w:spacing w:before="75"/>
        <w:ind w:left="0"/>
        <w:rPr>
          <w:b/>
          <w:sz w:val="26"/>
          <w:szCs w:val="26"/>
        </w:rPr>
      </w:pPr>
    </w:p>
    <w:p w14:paraId="02FDE9DD" w14:textId="6E244F20" w:rsidR="00F3588A" w:rsidRDefault="00CA4D47" w:rsidP="00624127">
      <w:pPr>
        <w:pStyle w:val="BodyText"/>
        <w:spacing w:line="264" w:lineRule="auto"/>
        <w:ind w:left="102" w:right="125"/>
        <w:rPr>
          <w:color w:val="333333"/>
          <w:sz w:val="24"/>
          <w:szCs w:val="24"/>
        </w:rPr>
      </w:pPr>
      <w:r w:rsidRPr="000B2689">
        <w:rPr>
          <w:color w:val="333333"/>
          <w:sz w:val="24"/>
          <w:szCs w:val="24"/>
        </w:rPr>
        <w:t xml:space="preserve">Diamond Light Source is the UK’s national synchrotron, a particle accelerator that </w:t>
      </w:r>
      <w:proofErr w:type="gramStart"/>
      <w:r w:rsidRPr="000B2689">
        <w:rPr>
          <w:color w:val="333333"/>
          <w:sz w:val="24"/>
          <w:szCs w:val="24"/>
        </w:rPr>
        <w:t>is capable of producing</w:t>
      </w:r>
      <w:proofErr w:type="gramEnd"/>
      <w:r w:rsidRPr="000B2689">
        <w:rPr>
          <w:color w:val="333333"/>
          <w:sz w:val="24"/>
          <w:szCs w:val="24"/>
        </w:rPr>
        <w:t xml:space="preserve"> extremely bright light. </w:t>
      </w:r>
      <w:r w:rsidR="00C06C94" w:rsidRPr="000B2689">
        <w:rPr>
          <w:color w:val="333333"/>
          <w:sz w:val="24"/>
          <w:szCs w:val="24"/>
        </w:rPr>
        <w:t>B</w:t>
      </w:r>
      <w:r w:rsidR="00716745" w:rsidRPr="000B2689">
        <w:rPr>
          <w:color w:val="333333"/>
          <w:sz w:val="24"/>
          <w:szCs w:val="24"/>
        </w:rPr>
        <w:t xml:space="preserve">eams are generated by accelerating electrons near the speed of light around a ring more than half a </w:t>
      </w:r>
      <w:proofErr w:type="spellStart"/>
      <w:r w:rsidR="00AB2BEA">
        <w:rPr>
          <w:color w:val="333333"/>
          <w:sz w:val="24"/>
          <w:szCs w:val="24"/>
        </w:rPr>
        <w:t>kilometre</w:t>
      </w:r>
      <w:proofErr w:type="spellEnd"/>
      <w:r w:rsidR="00716745" w:rsidRPr="000B2689">
        <w:rPr>
          <w:color w:val="333333"/>
          <w:sz w:val="24"/>
          <w:szCs w:val="24"/>
        </w:rPr>
        <w:t xml:space="preserve"> in circumference. They are then directed into </w:t>
      </w:r>
      <w:proofErr w:type="gramStart"/>
      <w:r w:rsidR="00716745" w:rsidRPr="000B2689">
        <w:rPr>
          <w:color w:val="333333"/>
          <w:sz w:val="24"/>
          <w:szCs w:val="24"/>
        </w:rPr>
        <w:t>laboratories, and</w:t>
      </w:r>
      <w:proofErr w:type="gramEnd"/>
      <w:r w:rsidR="00716745" w:rsidRPr="000B2689">
        <w:rPr>
          <w:color w:val="333333"/>
          <w:sz w:val="24"/>
          <w:szCs w:val="24"/>
        </w:rPr>
        <w:t xml:space="preserve"> used to </w:t>
      </w:r>
      <w:proofErr w:type="spellStart"/>
      <w:r w:rsidR="0061315F" w:rsidRPr="000B2689">
        <w:rPr>
          <w:color w:val="333333"/>
          <w:sz w:val="24"/>
          <w:szCs w:val="24"/>
        </w:rPr>
        <w:t>analy</w:t>
      </w:r>
      <w:r w:rsidR="00791F5B" w:rsidRPr="000B2689">
        <w:rPr>
          <w:color w:val="333333"/>
          <w:sz w:val="24"/>
          <w:szCs w:val="24"/>
        </w:rPr>
        <w:t>s</w:t>
      </w:r>
      <w:r w:rsidR="0061315F" w:rsidRPr="000B2689">
        <w:rPr>
          <w:color w:val="333333"/>
          <w:sz w:val="24"/>
          <w:szCs w:val="24"/>
        </w:rPr>
        <w:t>e</w:t>
      </w:r>
      <w:proofErr w:type="spellEnd"/>
      <w:r w:rsidR="00716745" w:rsidRPr="000B2689">
        <w:rPr>
          <w:color w:val="333333"/>
          <w:sz w:val="24"/>
          <w:szCs w:val="24"/>
        </w:rPr>
        <w:t xml:space="preserve"> samples in a variety of research</w:t>
      </w:r>
      <w:r w:rsidR="0061315F" w:rsidRPr="000B2689">
        <w:rPr>
          <w:color w:val="333333"/>
          <w:sz w:val="24"/>
          <w:szCs w:val="24"/>
        </w:rPr>
        <w:t xml:space="preserve"> and </w:t>
      </w:r>
      <w:r w:rsidR="00716745" w:rsidRPr="000B2689">
        <w:rPr>
          <w:color w:val="333333"/>
          <w:sz w:val="24"/>
          <w:szCs w:val="24"/>
        </w:rPr>
        <w:t>industry applications</w:t>
      </w:r>
      <w:r w:rsidR="0061315F" w:rsidRPr="000B2689">
        <w:rPr>
          <w:color w:val="333333"/>
          <w:sz w:val="24"/>
          <w:szCs w:val="24"/>
        </w:rPr>
        <w:t xml:space="preserve">, ranging from fossils and solar panels to viruses and vaccines. </w:t>
      </w:r>
    </w:p>
    <w:p w14:paraId="6F974D18" w14:textId="77777777" w:rsidR="00F3588A" w:rsidRDefault="00F3588A" w:rsidP="00624127">
      <w:pPr>
        <w:pStyle w:val="BodyText"/>
        <w:spacing w:line="264" w:lineRule="auto"/>
        <w:ind w:left="102" w:right="125"/>
        <w:rPr>
          <w:color w:val="333333"/>
          <w:sz w:val="24"/>
          <w:szCs w:val="24"/>
        </w:rPr>
      </w:pPr>
    </w:p>
    <w:p w14:paraId="65D67863" w14:textId="77777777" w:rsidR="00F3588A" w:rsidRDefault="0061315F" w:rsidP="00F3588A">
      <w:pPr>
        <w:pStyle w:val="BodyText"/>
        <w:spacing w:line="264" w:lineRule="auto"/>
        <w:ind w:left="102" w:right="125"/>
        <w:rPr>
          <w:color w:val="333333"/>
          <w:sz w:val="24"/>
          <w:szCs w:val="24"/>
        </w:rPr>
      </w:pPr>
      <w:proofErr w:type="gramStart"/>
      <w:r w:rsidRPr="000B2689">
        <w:rPr>
          <w:color w:val="333333"/>
          <w:sz w:val="24"/>
          <w:szCs w:val="24"/>
        </w:rPr>
        <w:t>In order for</w:t>
      </w:r>
      <w:proofErr w:type="gramEnd"/>
      <w:r w:rsidRPr="000B2689">
        <w:rPr>
          <w:color w:val="333333"/>
          <w:sz w:val="24"/>
          <w:szCs w:val="24"/>
        </w:rPr>
        <w:t xml:space="preserve"> this light to be collimated and focused appropriately onto samples, the resulting beam has to be </w:t>
      </w:r>
      <w:proofErr w:type="spellStart"/>
      <w:r w:rsidRPr="000B2689">
        <w:rPr>
          <w:color w:val="333333"/>
          <w:sz w:val="24"/>
          <w:szCs w:val="24"/>
        </w:rPr>
        <w:t>stabili</w:t>
      </w:r>
      <w:r w:rsidR="00791F5B" w:rsidRPr="000B2689">
        <w:rPr>
          <w:color w:val="333333"/>
          <w:sz w:val="24"/>
          <w:szCs w:val="24"/>
        </w:rPr>
        <w:t>s</w:t>
      </w:r>
      <w:r w:rsidRPr="000B2689">
        <w:rPr>
          <w:color w:val="333333"/>
          <w:sz w:val="24"/>
          <w:szCs w:val="24"/>
        </w:rPr>
        <w:t>ed</w:t>
      </w:r>
      <w:proofErr w:type="spellEnd"/>
      <w:r w:rsidR="00C06C94" w:rsidRPr="000B2689">
        <w:rPr>
          <w:color w:val="333333"/>
          <w:sz w:val="24"/>
          <w:szCs w:val="24"/>
        </w:rPr>
        <w:t>; t</w:t>
      </w:r>
      <w:r w:rsidR="00C06C94" w:rsidRPr="000B2689">
        <w:rPr>
          <w:color w:val="333333"/>
          <w:sz w:val="24"/>
          <w:szCs w:val="24"/>
        </w:rPr>
        <w:t>his is a large-scale disturbance rejection problem, with 173 outputs, 172 inputs and sampled at frequencies that exceed 10kHz</w:t>
      </w:r>
      <w:r w:rsidR="00C06C94" w:rsidRPr="000B2689">
        <w:rPr>
          <w:color w:val="333333"/>
          <w:sz w:val="24"/>
          <w:szCs w:val="24"/>
        </w:rPr>
        <w:t xml:space="preserve"> [</w:t>
      </w:r>
      <w:r w:rsidR="000B2689">
        <w:rPr>
          <w:color w:val="333333"/>
          <w:sz w:val="24"/>
          <w:szCs w:val="24"/>
        </w:rPr>
        <w:fldChar w:fldCharType="begin"/>
      </w:r>
      <w:r w:rsidR="000B2689">
        <w:rPr>
          <w:color w:val="333333"/>
          <w:sz w:val="24"/>
          <w:szCs w:val="24"/>
        </w:rPr>
        <w:instrText>HYPERLINK  \l "References"</w:instrText>
      </w:r>
      <w:r w:rsidR="000B2689">
        <w:rPr>
          <w:color w:val="333333"/>
          <w:sz w:val="24"/>
          <w:szCs w:val="24"/>
        </w:rPr>
      </w:r>
      <w:r w:rsidR="000B2689">
        <w:rPr>
          <w:color w:val="333333"/>
          <w:sz w:val="24"/>
          <w:szCs w:val="24"/>
        </w:rPr>
        <w:fldChar w:fldCharType="separate"/>
      </w:r>
      <w:r w:rsidR="00C06C94" w:rsidRPr="000B2689">
        <w:rPr>
          <w:rStyle w:val="Hyperlink"/>
          <w:sz w:val="24"/>
          <w:szCs w:val="24"/>
        </w:rPr>
        <w:t>1</w:t>
      </w:r>
      <w:r w:rsidR="000B2689">
        <w:rPr>
          <w:color w:val="333333"/>
          <w:sz w:val="24"/>
          <w:szCs w:val="24"/>
        </w:rPr>
        <w:fldChar w:fldCharType="end"/>
      </w:r>
      <w:r w:rsidR="00C06C94" w:rsidRPr="000B2689">
        <w:rPr>
          <w:color w:val="333333"/>
          <w:sz w:val="24"/>
          <w:szCs w:val="24"/>
        </w:rPr>
        <w:t>]</w:t>
      </w:r>
      <w:r w:rsidR="00C06C94" w:rsidRPr="000B2689">
        <w:rPr>
          <w:color w:val="333333"/>
          <w:sz w:val="24"/>
          <w:szCs w:val="24"/>
        </w:rPr>
        <w:t xml:space="preserve">. </w:t>
      </w:r>
      <w:r w:rsidR="00C06C94" w:rsidRPr="000B2689">
        <w:rPr>
          <w:color w:val="333333"/>
          <w:sz w:val="24"/>
          <w:szCs w:val="24"/>
        </w:rPr>
        <w:t>T</w:t>
      </w:r>
      <w:r w:rsidRPr="000B2689">
        <w:rPr>
          <w:color w:val="333333"/>
          <w:sz w:val="24"/>
          <w:szCs w:val="24"/>
        </w:rPr>
        <w:t>he Oxford Control Group has developed a</w:t>
      </w:r>
      <w:r w:rsidR="00730CAC" w:rsidRPr="000B2689">
        <w:rPr>
          <w:color w:val="333333"/>
          <w:sz w:val="24"/>
          <w:szCs w:val="24"/>
        </w:rPr>
        <w:t xml:space="preserve"> model predictive control</w:t>
      </w:r>
      <w:r w:rsidR="000B2689">
        <w:rPr>
          <w:color w:val="333333"/>
          <w:sz w:val="24"/>
          <w:szCs w:val="24"/>
        </w:rPr>
        <w:t xml:space="preserve"> (MPC)</w:t>
      </w:r>
      <w:r w:rsidR="00730CAC" w:rsidRPr="000B2689">
        <w:rPr>
          <w:color w:val="333333"/>
          <w:sz w:val="24"/>
          <w:szCs w:val="24"/>
        </w:rPr>
        <w:t xml:space="preserve"> system </w:t>
      </w:r>
      <w:r w:rsidRPr="000B2689">
        <w:rPr>
          <w:color w:val="333333"/>
          <w:sz w:val="24"/>
          <w:szCs w:val="24"/>
        </w:rPr>
        <w:t>to perform</w:t>
      </w:r>
      <w:r w:rsidR="00C06C94" w:rsidRPr="000B2689">
        <w:rPr>
          <w:color w:val="333333"/>
          <w:sz w:val="24"/>
          <w:szCs w:val="24"/>
        </w:rPr>
        <w:t xml:space="preserve"> just</w:t>
      </w:r>
      <w:r w:rsidRPr="000B2689">
        <w:rPr>
          <w:color w:val="333333"/>
          <w:sz w:val="24"/>
          <w:szCs w:val="24"/>
        </w:rPr>
        <w:t xml:space="preserve"> this task</w:t>
      </w:r>
      <w:r w:rsidR="00730CAC" w:rsidRPr="000B2689">
        <w:rPr>
          <w:color w:val="333333"/>
          <w:sz w:val="24"/>
          <w:szCs w:val="24"/>
        </w:rPr>
        <w:t xml:space="preserve">. </w:t>
      </w:r>
    </w:p>
    <w:p w14:paraId="690D2382" w14:textId="77777777" w:rsidR="00F3588A" w:rsidRDefault="00F3588A" w:rsidP="00F3588A">
      <w:pPr>
        <w:pStyle w:val="BodyText"/>
        <w:spacing w:line="264" w:lineRule="auto"/>
        <w:ind w:left="102" w:right="125"/>
        <w:rPr>
          <w:color w:val="333333"/>
          <w:sz w:val="24"/>
          <w:szCs w:val="24"/>
        </w:rPr>
      </w:pPr>
    </w:p>
    <w:p w14:paraId="10511A4C" w14:textId="0CBE459D" w:rsidR="00F3588A" w:rsidRDefault="00791F5B" w:rsidP="00F3588A">
      <w:pPr>
        <w:pStyle w:val="BodyText"/>
        <w:spacing w:line="264" w:lineRule="auto"/>
        <w:ind w:left="102" w:right="125"/>
        <w:rPr>
          <w:color w:val="333333"/>
          <w:sz w:val="24"/>
          <w:szCs w:val="24"/>
        </w:rPr>
      </w:pPr>
      <w:r w:rsidRPr="000B2689">
        <w:rPr>
          <w:color w:val="333333"/>
          <w:sz w:val="24"/>
          <w:szCs w:val="24"/>
        </w:rPr>
        <w:t xml:space="preserve">To </w:t>
      </w:r>
      <w:r w:rsidRPr="000B2689">
        <w:rPr>
          <w:color w:val="333333"/>
          <w:sz w:val="24"/>
          <w:szCs w:val="24"/>
        </w:rPr>
        <w:t xml:space="preserve">reduce computation time and memory usage in </w:t>
      </w:r>
      <w:r w:rsidRPr="000B2689">
        <w:rPr>
          <w:color w:val="333333"/>
          <w:sz w:val="24"/>
          <w:szCs w:val="24"/>
        </w:rPr>
        <w:t xml:space="preserve">the beam </w:t>
      </w:r>
      <w:proofErr w:type="spellStart"/>
      <w:r w:rsidRPr="000B2689">
        <w:rPr>
          <w:color w:val="333333"/>
          <w:sz w:val="24"/>
          <w:szCs w:val="24"/>
        </w:rPr>
        <w:t>stabilisation</w:t>
      </w:r>
      <w:proofErr w:type="spellEnd"/>
      <w:r w:rsidRPr="000B2689">
        <w:rPr>
          <w:color w:val="333333"/>
          <w:sz w:val="24"/>
          <w:szCs w:val="24"/>
        </w:rPr>
        <w:t xml:space="preserve"> algorithm</w:t>
      </w:r>
      <w:r w:rsidRPr="000B2689">
        <w:rPr>
          <w:color w:val="333333"/>
          <w:sz w:val="24"/>
          <w:szCs w:val="24"/>
        </w:rPr>
        <w:t xml:space="preserve">, </w:t>
      </w:r>
      <w:r w:rsidR="00653356" w:rsidRPr="000B2689">
        <w:rPr>
          <w:color w:val="333333"/>
          <w:sz w:val="24"/>
          <w:szCs w:val="24"/>
        </w:rPr>
        <w:t>the group</w:t>
      </w:r>
      <w:r w:rsidRPr="000B2689">
        <w:rPr>
          <w:color w:val="333333"/>
          <w:sz w:val="24"/>
          <w:szCs w:val="24"/>
        </w:rPr>
        <w:t xml:space="preserve"> proposed to use the fast gradient method, where the Euclidean projection step is solved using </w:t>
      </w:r>
      <w:r w:rsidRPr="000B2689">
        <w:rPr>
          <w:color w:val="333333"/>
          <w:sz w:val="24"/>
          <w:szCs w:val="24"/>
        </w:rPr>
        <w:t xml:space="preserve">Dykstra’s </w:t>
      </w:r>
      <w:r w:rsidR="00653356" w:rsidRPr="000B2689">
        <w:rPr>
          <w:color w:val="333333"/>
          <w:sz w:val="24"/>
          <w:szCs w:val="24"/>
        </w:rPr>
        <w:t>scheme</w:t>
      </w:r>
      <w:r w:rsidRPr="000B2689">
        <w:rPr>
          <w:color w:val="333333"/>
          <w:sz w:val="24"/>
          <w:szCs w:val="24"/>
        </w:rPr>
        <w:t xml:space="preserve"> [</w:t>
      </w:r>
      <w:r w:rsidR="000B2689">
        <w:rPr>
          <w:color w:val="333333"/>
          <w:sz w:val="24"/>
          <w:szCs w:val="24"/>
        </w:rPr>
        <w:fldChar w:fldCharType="begin"/>
      </w:r>
      <w:r w:rsidR="000B2689">
        <w:rPr>
          <w:color w:val="333333"/>
          <w:sz w:val="24"/>
          <w:szCs w:val="24"/>
        </w:rPr>
        <w:instrText>HYPERLINK  \l "References"</w:instrText>
      </w:r>
      <w:r w:rsidR="000B2689">
        <w:rPr>
          <w:color w:val="333333"/>
          <w:sz w:val="24"/>
          <w:szCs w:val="24"/>
        </w:rPr>
      </w:r>
      <w:r w:rsidR="000B2689">
        <w:rPr>
          <w:color w:val="333333"/>
          <w:sz w:val="24"/>
          <w:szCs w:val="24"/>
        </w:rPr>
        <w:fldChar w:fldCharType="separate"/>
      </w:r>
      <w:r w:rsidRPr="000B2689">
        <w:rPr>
          <w:rStyle w:val="Hyperlink"/>
          <w:sz w:val="24"/>
          <w:szCs w:val="24"/>
        </w:rPr>
        <w:t>2</w:t>
      </w:r>
      <w:r w:rsidR="000B2689">
        <w:rPr>
          <w:color w:val="333333"/>
          <w:sz w:val="24"/>
          <w:szCs w:val="24"/>
        </w:rPr>
        <w:fldChar w:fldCharType="end"/>
      </w:r>
      <w:r w:rsidRPr="000B2689">
        <w:rPr>
          <w:color w:val="333333"/>
          <w:sz w:val="24"/>
          <w:szCs w:val="24"/>
        </w:rPr>
        <w:t xml:space="preserve">]. This is an iterative algorithm </w:t>
      </w:r>
      <w:r w:rsidRPr="000B2689">
        <w:rPr>
          <w:color w:val="333333"/>
          <w:sz w:val="24"/>
          <w:szCs w:val="24"/>
        </w:rPr>
        <w:t>for finding the projection onto the intersection of two closed convex subsets in Hilbert space</w:t>
      </w:r>
      <w:r w:rsidRPr="000B2689">
        <w:rPr>
          <w:color w:val="333333"/>
          <w:sz w:val="24"/>
          <w:szCs w:val="24"/>
        </w:rPr>
        <w:t xml:space="preserve">. </w:t>
      </w:r>
      <w:r w:rsidRPr="000B2689">
        <w:rPr>
          <w:color w:val="333333"/>
          <w:sz w:val="24"/>
          <w:szCs w:val="24"/>
        </w:rPr>
        <w:t xml:space="preserve">It is efficient and </w:t>
      </w:r>
      <w:proofErr w:type="gramStart"/>
      <w:r w:rsidRPr="000B2689">
        <w:rPr>
          <w:color w:val="333333"/>
          <w:sz w:val="24"/>
          <w:szCs w:val="24"/>
        </w:rPr>
        <w:t>fast, but</w:t>
      </w:r>
      <w:proofErr w:type="gramEnd"/>
      <w:r w:rsidRPr="000B2689">
        <w:rPr>
          <w:color w:val="333333"/>
          <w:sz w:val="24"/>
          <w:szCs w:val="24"/>
        </w:rPr>
        <w:t xml:space="preserve"> can stall under certain conditions</w:t>
      </w:r>
      <w:r w:rsidRPr="000B2689">
        <w:rPr>
          <w:color w:val="333333"/>
          <w:sz w:val="24"/>
          <w:szCs w:val="24"/>
        </w:rPr>
        <w:t xml:space="preserve"> [</w:t>
      </w:r>
      <w:r w:rsidR="000B2689">
        <w:rPr>
          <w:color w:val="333333"/>
          <w:sz w:val="24"/>
          <w:szCs w:val="24"/>
        </w:rPr>
        <w:fldChar w:fldCharType="begin"/>
      </w:r>
      <w:r w:rsidR="000B2689">
        <w:rPr>
          <w:color w:val="333333"/>
          <w:sz w:val="24"/>
          <w:szCs w:val="24"/>
        </w:rPr>
        <w:instrText>HYPERLINK  \l "References"</w:instrText>
      </w:r>
      <w:r w:rsidR="000B2689">
        <w:rPr>
          <w:color w:val="333333"/>
          <w:sz w:val="24"/>
          <w:szCs w:val="24"/>
        </w:rPr>
      </w:r>
      <w:r w:rsidR="000B2689">
        <w:rPr>
          <w:color w:val="333333"/>
          <w:sz w:val="24"/>
          <w:szCs w:val="24"/>
        </w:rPr>
        <w:fldChar w:fldCharType="separate"/>
      </w:r>
      <w:r w:rsidRPr="000B2689">
        <w:rPr>
          <w:rStyle w:val="Hyperlink"/>
          <w:sz w:val="24"/>
          <w:szCs w:val="24"/>
        </w:rPr>
        <w:t>3</w:t>
      </w:r>
      <w:r w:rsidR="000B2689">
        <w:rPr>
          <w:color w:val="333333"/>
          <w:sz w:val="24"/>
          <w:szCs w:val="24"/>
        </w:rPr>
        <w:fldChar w:fldCharType="end"/>
      </w:r>
      <w:r w:rsidRPr="000B2689">
        <w:rPr>
          <w:color w:val="333333"/>
          <w:sz w:val="24"/>
          <w:szCs w:val="24"/>
        </w:rPr>
        <w:t>]</w:t>
      </w:r>
      <w:r w:rsidR="00653356" w:rsidRPr="000B2689">
        <w:rPr>
          <w:color w:val="333333"/>
          <w:sz w:val="24"/>
          <w:szCs w:val="24"/>
        </w:rPr>
        <w:t>. Hence, Dykstra’s method must be modified to avoid stalling, with a focus on polyhedral sets that are encountered in most engineering applications.</w:t>
      </w:r>
    </w:p>
    <w:p w14:paraId="50962B98" w14:textId="77777777" w:rsidR="00F3588A" w:rsidRDefault="00F3588A" w:rsidP="00F3588A">
      <w:pPr>
        <w:pStyle w:val="BodyText"/>
        <w:spacing w:line="264" w:lineRule="auto"/>
        <w:ind w:left="102" w:right="125"/>
        <w:rPr>
          <w:color w:val="333333"/>
          <w:sz w:val="24"/>
          <w:szCs w:val="24"/>
        </w:rPr>
      </w:pPr>
    </w:p>
    <w:p w14:paraId="1AD23169" w14:textId="2C133B1D" w:rsidR="00F3588A" w:rsidRDefault="00653356" w:rsidP="00F3588A">
      <w:pPr>
        <w:pStyle w:val="BodyText"/>
        <w:spacing w:line="264" w:lineRule="auto"/>
        <w:ind w:left="102" w:right="125"/>
        <w:rPr>
          <w:color w:val="333333"/>
          <w:sz w:val="24"/>
          <w:szCs w:val="24"/>
        </w:rPr>
      </w:pPr>
      <w:r w:rsidRPr="000B2689">
        <w:rPr>
          <w:color w:val="333333"/>
          <w:sz w:val="24"/>
          <w:szCs w:val="24"/>
        </w:rPr>
        <w:t xml:space="preserve">Under which conditions does the method stall for </w:t>
      </w:r>
      <w:r w:rsidR="000B2689">
        <w:rPr>
          <w:color w:val="333333"/>
          <w:sz w:val="24"/>
          <w:szCs w:val="24"/>
        </w:rPr>
        <w:t xml:space="preserve">these </w:t>
      </w:r>
      <w:r w:rsidRPr="000B2689">
        <w:rPr>
          <w:color w:val="333333"/>
          <w:sz w:val="24"/>
          <w:szCs w:val="24"/>
        </w:rPr>
        <w:t>polyhedral sets?</w:t>
      </w:r>
      <w:r w:rsidRPr="000B2689">
        <w:rPr>
          <w:color w:val="333333"/>
          <w:sz w:val="24"/>
          <w:szCs w:val="24"/>
        </w:rPr>
        <w:t xml:space="preserve"> Once </w:t>
      </w:r>
      <w:proofErr w:type="spellStart"/>
      <w:r w:rsidRPr="000B2689">
        <w:rPr>
          <w:color w:val="333333"/>
          <w:sz w:val="24"/>
          <w:szCs w:val="24"/>
        </w:rPr>
        <w:t>the</w:t>
      </w:r>
      <w:proofErr w:type="spellEnd"/>
      <w:r w:rsidRPr="000B2689">
        <w:rPr>
          <w:color w:val="333333"/>
          <w:sz w:val="24"/>
          <w:szCs w:val="24"/>
        </w:rPr>
        <w:t xml:space="preserve"> conditions for stalling are identified, how</w:t>
      </w:r>
      <w:r w:rsidRPr="000B2689">
        <w:rPr>
          <w:color w:val="333333"/>
          <w:sz w:val="24"/>
          <w:szCs w:val="24"/>
        </w:rPr>
        <w:t xml:space="preserve"> could stalling be prevented?</w:t>
      </w:r>
      <w:r w:rsidRPr="000B2689">
        <w:rPr>
          <w:color w:val="333333"/>
          <w:sz w:val="24"/>
          <w:szCs w:val="24"/>
        </w:rPr>
        <w:t xml:space="preserve"> Answering these questions would be the primary focus of this project.</w:t>
      </w:r>
    </w:p>
    <w:p w14:paraId="4F469EDE" w14:textId="77777777" w:rsidR="00F3588A" w:rsidRDefault="00F3588A" w:rsidP="00F3588A">
      <w:pPr>
        <w:pStyle w:val="BodyText"/>
        <w:spacing w:line="264" w:lineRule="auto"/>
        <w:ind w:left="102" w:right="125"/>
        <w:rPr>
          <w:color w:val="333333"/>
          <w:sz w:val="24"/>
          <w:szCs w:val="24"/>
        </w:rPr>
      </w:pPr>
    </w:p>
    <w:p w14:paraId="035F5216" w14:textId="16774D02" w:rsidR="00F3588A" w:rsidRPr="0018700B" w:rsidRDefault="000B2689" w:rsidP="0018700B">
      <w:pPr>
        <w:pStyle w:val="BodyText"/>
        <w:spacing w:line="264" w:lineRule="auto"/>
        <w:ind w:left="102" w:right="125"/>
        <w:rPr>
          <w:color w:val="333333"/>
          <w:sz w:val="24"/>
          <w:szCs w:val="24"/>
        </w:rPr>
      </w:pPr>
      <w:r>
        <w:rPr>
          <w:color w:val="333333"/>
          <w:sz w:val="24"/>
          <w:szCs w:val="24"/>
        </w:rPr>
        <w:t xml:space="preserve">A theoretical approach would be initially required to identify the </w:t>
      </w:r>
      <w:proofErr w:type="spellStart"/>
      <w:r>
        <w:rPr>
          <w:color w:val="333333"/>
          <w:sz w:val="24"/>
          <w:szCs w:val="24"/>
        </w:rPr>
        <w:t>initialisation</w:t>
      </w:r>
      <w:proofErr w:type="spellEnd"/>
      <w:r>
        <w:rPr>
          <w:color w:val="333333"/>
          <w:sz w:val="24"/>
          <w:szCs w:val="24"/>
        </w:rPr>
        <w:t xml:space="preserve"> parameters and overall conditions that lead to stalling. Subsequently, the stalling conditions would be reproduced for small polyhedral sets, both analytically and via simulations. Finally, we would try to develop solutions to prevent stalling and improve the MATLAB implementation of</w:t>
      </w:r>
      <w:r w:rsidR="00624127">
        <w:rPr>
          <w:color w:val="333333"/>
          <w:sz w:val="24"/>
          <w:szCs w:val="24"/>
        </w:rPr>
        <w:t xml:space="preserve"> </w:t>
      </w:r>
      <w:r>
        <w:rPr>
          <w:color w:val="333333"/>
          <w:sz w:val="24"/>
          <w:szCs w:val="24"/>
        </w:rPr>
        <w:t>the MPC system that uses Dykstra’s algorithm.</w:t>
      </w:r>
      <w:r w:rsidR="00F3588A" w:rsidRPr="00AB2BEA">
        <w:rPr>
          <w:b/>
          <w:color w:val="333333"/>
          <w:sz w:val="26"/>
        </w:rPr>
        <w:br w:type="page"/>
      </w:r>
    </w:p>
    <w:p w14:paraId="1895CB36" w14:textId="217E3FB9" w:rsidR="00624127" w:rsidRDefault="006D7142" w:rsidP="00624127">
      <w:pPr>
        <w:pStyle w:val="BodyText"/>
        <w:spacing w:line="276" w:lineRule="auto"/>
        <w:ind w:right="280"/>
        <w:rPr>
          <w:b/>
          <w:color w:val="333333"/>
          <w:spacing w:val="40"/>
          <w:sz w:val="26"/>
        </w:rPr>
      </w:pPr>
      <w:r>
        <w:rPr>
          <w:b/>
          <w:color w:val="333333"/>
          <w:sz w:val="26"/>
        </w:rPr>
        <w:lastRenderedPageBreak/>
        <w:t>Indicate briefly why you would like to take part in this scheme (500 words max):</w:t>
      </w:r>
    </w:p>
    <w:p w14:paraId="0655D4B6" w14:textId="77777777" w:rsidR="00624127" w:rsidRDefault="00624127" w:rsidP="00624127">
      <w:pPr>
        <w:pStyle w:val="BodyText"/>
        <w:spacing w:line="276" w:lineRule="auto"/>
        <w:ind w:right="280"/>
        <w:rPr>
          <w:b/>
          <w:color w:val="333333"/>
          <w:spacing w:val="40"/>
          <w:sz w:val="26"/>
        </w:rPr>
      </w:pPr>
    </w:p>
    <w:p w14:paraId="0E1E106B" w14:textId="2A5A96C6" w:rsidR="00F3588A" w:rsidRDefault="0018700B" w:rsidP="00F3588A">
      <w:pPr>
        <w:pStyle w:val="BodyText"/>
        <w:spacing w:line="264" w:lineRule="auto"/>
        <w:ind w:left="102" w:right="125"/>
        <w:rPr>
          <w:color w:val="333333"/>
          <w:sz w:val="24"/>
          <w:szCs w:val="24"/>
        </w:rPr>
      </w:pPr>
      <w:r w:rsidRPr="0018700B">
        <w:rPr>
          <w:color w:val="333333"/>
          <w:sz w:val="24"/>
          <w:szCs w:val="24"/>
        </w:rPr>
        <w:t xml:space="preserve">Throughout my nearly two years of undergraduate study at Oxford, the control theory submodule, along with its associated laboratory exercises (including the rocket controller in the first year and the </w:t>
      </w:r>
      <w:proofErr w:type="spellStart"/>
      <w:r w:rsidRPr="0018700B">
        <w:rPr>
          <w:color w:val="333333"/>
          <w:sz w:val="24"/>
          <w:szCs w:val="24"/>
        </w:rPr>
        <w:t>Quanser</w:t>
      </w:r>
      <w:proofErr w:type="spellEnd"/>
      <w:r w:rsidRPr="0018700B">
        <w:rPr>
          <w:color w:val="333333"/>
          <w:sz w:val="24"/>
          <w:szCs w:val="24"/>
        </w:rPr>
        <w:t xml:space="preserve"> Aero experiment in the second year), has consistently captivated my interest and reaffirmed my conviction in pursuing engineering as my chosen field of study.</w:t>
      </w:r>
    </w:p>
    <w:p w14:paraId="51BD5654" w14:textId="77777777" w:rsidR="0018700B" w:rsidRDefault="0018700B" w:rsidP="00F3588A">
      <w:pPr>
        <w:pStyle w:val="BodyText"/>
        <w:spacing w:line="264" w:lineRule="auto"/>
        <w:ind w:left="102" w:right="125"/>
        <w:rPr>
          <w:color w:val="333333"/>
          <w:sz w:val="24"/>
          <w:szCs w:val="24"/>
        </w:rPr>
      </w:pPr>
    </w:p>
    <w:p w14:paraId="2DAEBE11" w14:textId="4F413D3C" w:rsidR="00AB2BEA" w:rsidRPr="00AB2BEA" w:rsidRDefault="00AB2BEA" w:rsidP="00AB2BEA">
      <w:pPr>
        <w:pStyle w:val="Title"/>
        <w:spacing w:line="264" w:lineRule="auto"/>
        <w:ind w:left="102"/>
        <w:rPr>
          <w:b w:val="0"/>
          <w:bCs w:val="0"/>
          <w:color w:val="333333"/>
          <w:sz w:val="24"/>
          <w:szCs w:val="24"/>
        </w:rPr>
      </w:pPr>
      <w:r w:rsidRPr="00AB2BEA">
        <w:rPr>
          <w:b w:val="0"/>
          <w:bCs w:val="0"/>
          <w:color w:val="333333"/>
          <w:sz w:val="24"/>
          <w:szCs w:val="24"/>
        </w:rPr>
        <w:t>Participating in this scheme offers an exciting opportunity to bridge theory and practice in the field of engineering. Throughout my academic journey, I've gained a strong theoretical foundation, but I'm eager to see how these concepts play out in real-world applications, particularly in control theory and programming. Control theory</w:t>
      </w:r>
      <w:r w:rsidR="0018700B" w:rsidRPr="00AB2BEA">
        <w:rPr>
          <w:b w:val="0"/>
          <w:bCs w:val="0"/>
          <w:color w:val="333333"/>
          <w:sz w:val="24"/>
          <w:szCs w:val="24"/>
        </w:rPr>
        <w:t xml:space="preserve"> is</w:t>
      </w:r>
      <w:r w:rsidRPr="00AB2BEA">
        <w:rPr>
          <w:b w:val="0"/>
          <w:bCs w:val="0"/>
          <w:color w:val="333333"/>
          <w:sz w:val="24"/>
          <w:szCs w:val="24"/>
        </w:rPr>
        <w:t xml:space="preserve"> a field I'm</w:t>
      </w:r>
      <w:r w:rsidR="0018700B">
        <w:rPr>
          <w:b w:val="0"/>
          <w:bCs w:val="0"/>
          <w:color w:val="333333"/>
          <w:sz w:val="24"/>
          <w:szCs w:val="24"/>
        </w:rPr>
        <w:t xml:space="preserve"> particularly</w:t>
      </w:r>
      <w:r w:rsidRPr="00AB2BEA">
        <w:rPr>
          <w:b w:val="0"/>
          <w:bCs w:val="0"/>
          <w:color w:val="333333"/>
          <w:sz w:val="24"/>
          <w:szCs w:val="24"/>
        </w:rPr>
        <w:t xml:space="preserve"> passionate about, so being able to work on practical applications is incredibly exciting.</w:t>
      </w:r>
      <w:r>
        <w:rPr>
          <w:b w:val="0"/>
          <w:bCs w:val="0"/>
          <w:color w:val="333333"/>
          <w:sz w:val="24"/>
          <w:szCs w:val="24"/>
        </w:rPr>
        <w:t xml:space="preserve"> </w:t>
      </w:r>
      <w:r w:rsidRPr="00AB2BEA">
        <w:rPr>
          <w:b w:val="0"/>
          <w:bCs w:val="0"/>
          <w:color w:val="333333"/>
          <w:sz w:val="24"/>
          <w:szCs w:val="24"/>
        </w:rPr>
        <w:t>This project provides a hands-on learning experience that goes beyond traditional coursework, allowing me to develop new skills and work closely with a diverse team of researchers.</w:t>
      </w:r>
    </w:p>
    <w:p w14:paraId="23BE53D1" w14:textId="77777777" w:rsidR="00AB2BEA" w:rsidRPr="00AB2BEA" w:rsidRDefault="00AB2BEA" w:rsidP="00AB2BEA">
      <w:pPr>
        <w:pStyle w:val="Title"/>
        <w:spacing w:line="264" w:lineRule="auto"/>
        <w:ind w:left="102"/>
        <w:rPr>
          <w:b w:val="0"/>
          <w:bCs w:val="0"/>
          <w:color w:val="333333"/>
          <w:sz w:val="24"/>
          <w:szCs w:val="24"/>
        </w:rPr>
      </w:pPr>
    </w:p>
    <w:p w14:paraId="57A230E5" w14:textId="77777777" w:rsidR="00AB2BEA" w:rsidRPr="00AB2BEA" w:rsidRDefault="00AB2BEA" w:rsidP="00AB2BEA">
      <w:pPr>
        <w:pStyle w:val="Title"/>
        <w:spacing w:line="264" w:lineRule="auto"/>
        <w:ind w:left="102"/>
        <w:rPr>
          <w:b w:val="0"/>
          <w:bCs w:val="0"/>
          <w:color w:val="333333"/>
          <w:sz w:val="24"/>
          <w:szCs w:val="24"/>
        </w:rPr>
      </w:pPr>
      <w:r w:rsidRPr="00AB2BEA">
        <w:rPr>
          <w:b w:val="0"/>
          <w:bCs w:val="0"/>
          <w:color w:val="333333"/>
          <w:sz w:val="24"/>
          <w:szCs w:val="24"/>
        </w:rPr>
        <w:t>Collaborating with experts in the department is a key aspect of this scheme that I'm looking forward to. Working alongside others with different perspectives and areas of expertise will not only enhance my technical skills but also help me grow personally, improving my ability to communicate and work effectively in a team.</w:t>
      </w:r>
    </w:p>
    <w:p w14:paraId="71D05DC6" w14:textId="77777777" w:rsidR="00AB2BEA" w:rsidRPr="00AB2BEA" w:rsidRDefault="00AB2BEA" w:rsidP="00AB2BEA">
      <w:pPr>
        <w:pStyle w:val="Title"/>
        <w:spacing w:line="264" w:lineRule="auto"/>
        <w:ind w:left="0"/>
        <w:rPr>
          <w:b w:val="0"/>
          <w:bCs w:val="0"/>
          <w:color w:val="333333"/>
          <w:sz w:val="24"/>
          <w:szCs w:val="24"/>
        </w:rPr>
      </w:pPr>
    </w:p>
    <w:p w14:paraId="61AA79ED" w14:textId="17E86B48" w:rsidR="00AB2BEA" w:rsidRPr="00AB2BEA" w:rsidRDefault="00AB2BEA" w:rsidP="00AB2BEA">
      <w:pPr>
        <w:pStyle w:val="Title"/>
        <w:spacing w:line="264" w:lineRule="auto"/>
        <w:ind w:left="102"/>
        <w:rPr>
          <w:b w:val="0"/>
          <w:bCs w:val="0"/>
          <w:color w:val="333333"/>
          <w:sz w:val="24"/>
          <w:szCs w:val="24"/>
        </w:rPr>
      </w:pPr>
      <w:r w:rsidRPr="00AB2BEA">
        <w:rPr>
          <w:b w:val="0"/>
          <w:bCs w:val="0"/>
          <w:color w:val="333333"/>
          <w:sz w:val="24"/>
          <w:szCs w:val="24"/>
        </w:rPr>
        <w:t xml:space="preserve">Additionally, there's the potential for this project to evolve into a larger </w:t>
      </w:r>
      <w:proofErr w:type="spellStart"/>
      <w:r>
        <w:rPr>
          <w:b w:val="0"/>
          <w:bCs w:val="0"/>
          <w:color w:val="333333"/>
          <w:sz w:val="24"/>
          <w:szCs w:val="24"/>
        </w:rPr>
        <w:t>endeavour</w:t>
      </w:r>
      <w:proofErr w:type="spellEnd"/>
      <w:r w:rsidRPr="00AB2BEA">
        <w:rPr>
          <w:b w:val="0"/>
          <w:bCs w:val="0"/>
          <w:color w:val="333333"/>
          <w:sz w:val="24"/>
          <w:szCs w:val="24"/>
        </w:rPr>
        <w:t xml:space="preserve">, such as a </w:t>
      </w:r>
      <w:r>
        <w:rPr>
          <w:b w:val="0"/>
          <w:bCs w:val="0"/>
          <w:color w:val="333333"/>
          <w:sz w:val="24"/>
          <w:szCs w:val="24"/>
        </w:rPr>
        <w:t>4YP (</w:t>
      </w:r>
      <w:r w:rsidRPr="00AB2BEA">
        <w:rPr>
          <w:b w:val="0"/>
          <w:bCs w:val="0"/>
          <w:color w:val="333333"/>
          <w:sz w:val="24"/>
          <w:szCs w:val="24"/>
        </w:rPr>
        <w:t>fourth-year project</w:t>
      </w:r>
      <w:r>
        <w:rPr>
          <w:b w:val="0"/>
          <w:bCs w:val="0"/>
          <w:color w:val="333333"/>
          <w:sz w:val="24"/>
          <w:szCs w:val="24"/>
        </w:rPr>
        <w:t>)</w:t>
      </w:r>
      <w:r w:rsidRPr="00AB2BEA">
        <w:rPr>
          <w:b w:val="0"/>
          <w:bCs w:val="0"/>
          <w:color w:val="333333"/>
          <w:sz w:val="24"/>
          <w:szCs w:val="24"/>
        </w:rPr>
        <w:t>. This possibility motivates me to fully invest myself in the scheme, knowing that the skills and experiences gained will be valuable for future projects in engineering.</w:t>
      </w:r>
    </w:p>
    <w:p w14:paraId="641462D2" w14:textId="77777777" w:rsidR="00AB2BEA" w:rsidRPr="00AB2BEA" w:rsidRDefault="00AB2BEA" w:rsidP="00AB2BEA">
      <w:pPr>
        <w:pStyle w:val="Title"/>
        <w:spacing w:line="264" w:lineRule="auto"/>
        <w:ind w:left="102"/>
        <w:rPr>
          <w:b w:val="0"/>
          <w:bCs w:val="0"/>
          <w:color w:val="333333"/>
          <w:sz w:val="24"/>
          <w:szCs w:val="24"/>
        </w:rPr>
      </w:pPr>
    </w:p>
    <w:p w14:paraId="2D4A0771" w14:textId="7D1FF770" w:rsidR="00F3588A" w:rsidRDefault="00AB2BEA" w:rsidP="00AB2BEA">
      <w:pPr>
        <w:pStyle w:val="Title"/>
        <w:spacing w:line="264" w:lineRule="auto"/>
        <w:ind w:left="102"/>
        <w:rPr>
          <w:b w:val="0"/>
          <w:bCs w:val="0"/>
          <w:color w:val="333333"/>
          <w:sz w:val="24"/>
          <w:szCs w:val="24"/>
        </w:rPr>
      </w:pPr>
      <w:r w:rsidRPr="00AB2BEA">
        <w:rPr>
          <w:b w:val="0"/>
          <w:bCs w:val="0"/>
          <w:color w:val="333333"/>
          <w:sz w:val="24"/>
          <w:szCs w:val="24"/>
        </w:rPr>
        <w:t>Overall, I see this scheme as a chance to expand my horizons, learn new things, and contribute to meaningful research. I'm excited to dive in and make the most of this opportunity to grow both personally and professionally.</w:t>
      </w:r>
    </w:p>
    <w:p w14:paraId="0B516387" w14:textId="77777777" w:rsidR="0018700B" w:rsidRDefault="0018700B" w:rsidP="00AB2BEA">
      <w:pPr>
        <w:pStyle w:val="Title"/>
        <w:spacing w:line="264" w:lineRule="auto"/>
        <w:ind w:left="102"/>
        <w:rPr>
          <w:b w:val="0"/>
          <w:bCs w:val="0"/>
          <w:color w:val="333333"/>
          <w:sz w:val="24"/>
          <w:szCs w:val="24"/>
        </w:rPr>
      </w:pPr>
    </w:p>
    <w:p w14:paraId="2DF9018B" w14:textId="77777777" w:rsidR="0018700B" w:rsidRDefault="0018700B" w:rsidP="00AB2BEA">
      <w:pPr>
        <w:pStyle w:val="Title"/>
        <w:spacing w:line="264" w:lineRule="auto"/>
        <w:ind w:left="102"/>
        <w:rPr>
          <w:b w:val="0"/>
          <w:bCs w:val="0"/>
          <w:color w:val="333333"/>
          <w:sz w:val="24"/>
          <w:szCs w:val="24"/>
        </w:rPr>
      </w:pPr>
    </w:p>
    <w:p w14:paraId="21E7853F" w14:textId="77777777" w:rsidR="0018700B" w:rsidRDefault="0018700B" w:rsidP="00AB2BEA">
      <w:pPr>
        <w:pStyle w:val="Title"/>
        <w:spacing w:line="264" w:lineRule="auto"/>
        <w:ind w:left="102"/>
        <w:rPr>
          <w:b w:val="0"/>
          <w:bCs w:val="0"/>
          <w:color w:val="333333"/>
          <w:sz w:val="24"/>
          <w:szCs w:val="24"/>
        </w:rPr>
      </w:pPr>
    </w:p>
    <w:p w14:paraId="6E7556B7" w14:textId="77777777" w:rsidR="0018700B" w:rsidRDefault="0018700B" w:rsidP="00AB2BEA">
      <w:pPr>
        <w:pStyle w:val="Title"/>
        <w:spacing w:line="264" w:lineRule="auto"/>
        <w:ind w:left="102"/>
        <w:rPr>
          <w:b w:val="0"/>
          <w:bCs w:val="0"/>
          <w:color w:val="333333"/>
          <w:sz w:val="24"/>
          <w:szCs w:val="24"/>
        </w:rPr>
      </w:pPr>
    </w:p>
    <w:p w14:paraId="799F9628" w14:textId="77777777" w:rsidR="0018700B" w:rsidRDefault="0018700B" w:rsidP="00AB2BEA">
      <w:pPr>
        <w:pStyle w:val="Title"/>
        <w:spacing w:line="264" w:lineRule="auto"/>
        <w:ind w:left="102"/>
        <w:rPr>
          <w:b w:val="0"/>
          <w:bCs w:val="0"/>
          <w:color w:val="333333"/>
          <w:sz w:val="24"/>
          <w:szCs w:val="24"/>
        </w:rPr>
      </w:pPr>
    </w:p>
    <w:p w14:paraId="44C80C8C" w14:textId="77777777" w:rsidR="0018700B" w:rsidRDefault="0018700B" w:rsidP="0018700B">
      <w:pPr>
        <w:pStyle w:val="Title"/>
      </w:pPr>
      <w:r>
        <w:t>References</w:t>
      </w:r>
    </w:p>
    <w:p w14:paraId="49962FCD" w14:textId="77777777" w:rsidR="0018700B" w:rsidRDefault="0018700B" w:rsidP="0018700B">
      <w:pPr>
        <w:pStyle w:val="Title"/>
      </w:pPr>
    </w:p>
    <w:p w14:paraId="21B49641" w14:textId="77777777" w:rsidR="0018700B" w:rsidRPr="00C06C94" w:rsidRDefault="0018700B" w:rsidP="0018700B">
      <w:pPr>
        <w:pStyle w:val="Title"/>
        <w:numPr>
          <w:ilvl w:val="0"/>
          <w:numId w:val="1"/>
        </w:numPr>
        <w:rPr>
          <w:b w:val="0"/>
          <w:bCs w:val="0"/>
        </w:rPr>
      </w:pPr>
      <w:bookmarkStart w:id="0" w:name="References"/>
      <w:r w:rsidRPr="00C06C94">
        <w:rPr>
          <w:b w:val="0"/>
          <w:bCs w:val="0"/>
        </w:rPr>
        <w:t xml:space="preserve">I. Kempf et al., </w:t>
      </w:r>
      <w:hyperlink r:id="rId5" w:history="1">
        <w:r w:rsidRPr="00791F5B">
          <w:rPr>
            <w:rStyle w:val="Hyperlink"/>
            <w:b w:val="0"/>
            <w:bCs w:val="0"/>
          </w:rPr>
          <w:t>“Model Predictive Control for Electron Beam Stabilization in a Synchrotron”</w:t>
        </w:r>
      </w:hyperlink>
      <w:r>
        <w:rPr>
          <w:b w:val="0"/>
          <w:bCs w:val="0"/>
        </w:rPr>
        <w:t xml:space="preserve">, </w:t>
      </w:r>
      <w:proofErr w:type="spellStart"/>
      <w:r w:rsidRPr="00791F5B">
        <w:rPr>
          <w:b w:val="0"/>
          <w:bCs w:val="0"/>
        </w:rPr>
        <w:t>arXiv</w:t>
      </w:r>
      <w:proofErr w:type="spellEnd"/>
      <w:r w:rsidRPr="00791F5B">
        <w:rPr>
          <w:b w:val="0"/>
          <w:bCs w:val="0"/>
        </w:rPr>
        <w:t>, 202</w:t>
      </w:r>
      <w:r>
        <w:rPr>
          <w:b w:val="0"/>
          <w:bCs w:val="0"/>
        </w:rPr>
        <w:t>1</w:t>
      </w:r>
      <w:r w:rsidRPr="00791F5B">
        <w:rPr>
          <w:b w:val="0"/>
          <w:bCs w:val="0"/>
        </w:rPr>
        <w:t>.</w:t>
      </w:r>
      <w:bookmarkEnd w:id="0"/>
    </w:p>
    <w:p w14:paraId="27F4F9BB" w14:textId="77777777" w:rsidR="0018700B" w:rsidRDefault="0018700B" w:rsidP="0018700B">
      <w:pPr>
        <w:pStyle w:val="Title"/>
        <w:numPr>
          <w:ilvl w:val="0"/>
          <w:numId w:val="1"/>
        </w:numPr>
        <w:rPr>
          <w:b w:val="0"/>
          <w:bCs w:val="0"/>
        </w:rPr>
      </w:pPr>
      <w:r w:rsidRPr="00C06C94">
        <w:rPr>
          <w:b w:val="0"/>
          <w:bCs w:val="0"/>
        </w:rPr>
        <w:t xml:space="preserve">I. Kempf et al., </w:t>
      </w:r>
      <w:hyperlink r:id="rId6" w:history="1">
        <w:r w:rsidRPr="00653356">
          <w:rPr>
            <w:rStyle w:val="Hyperlink"/>
            <w:b w:val="0"/>
            <w:bCs w:val="0"/>
          </w:rPr>
          <w:t>“Fast Gradient Method for Model Predictive Control with Input Rate and Amplitude Constraints”</w:t>
        </w:r>
      </w:hyperlink>
      <w:r w:rsidRPr="00C06C94">
        <w:rPr>
          <w:b w:val="0"/>
          <w:bCs w:val="0"/>
        </w:rPr>
        <w:t>, IFAC, 2020.</w:t>
      </w:r>
    </w:p>
    <w:p w14:paraId="7C1D44A9" w14:textId="77777777" w:rsidR="0018700B" w:rsidRDefault="0018700B" w:rsidP="0018700B">
      <w:pPr>
        <w:pStyle w:val="Title"/>
        <w:numPr>
          <w:ilvl w:val="0"/>
          <w:numId w:val="1"/>
        </w:numPr>
        <w:rPr>
          <w:b w:val="0"/>
          <w:bCs w:val="0"/>
        </w:rPr>
      </w:pPr>
      <w:r w:rsidRPr="00791F5B">
        <w:rPr>
          <w:b w:val="0"/>
          <w:bCs w:val="0"/>
        </w:rPr>
        <w:t xml:space="preserve">H. H. </w:t>
      </w:r>
      <w:proofErr w:type="spellStart"/>
      <w:r w:rsidRPr="00791F5B">
        <w:rPr>
          <w:b w:val="0"/>
          <w:bCs w:val="0"/>
        </w:rPr>
        <w:t>Bauschke</w:t>
      </w:r>
      <w:proofErr w:type="spellEnd"/>
      <w:r w:rsidRPr="00791F5B">
        <w:rPr>
          <w:b w:val="0"/>
          <w:bCs w:val="0"/>
        </w:rPr>
        <w:t xml:space="preserve"> et al., </w:t>
      </w:r>
      <w:hyperlink r:id="rId7" w:history="1">
        <w:r w:rsidRPr="00653356">
          <w:rPr>
            <w:rStyle w:val="Hyperlink"/>
            <w:b w:val="0"/>
            <w:bCs w:val="0"/>
          </w:rPr>
          <w:t>“On Dykstra’s algorithm: finite convergence, stalling, and the method of alternating projections”</w:t>
        </w:r>
      </w:hyperlink>
      <w:r>
        <w:rPr>
          <w:b w:val="0"/>
          <w:bCs w:val="0"/>
        </w:rPr>
        <w:t xml:space="preserve">, </w:t>
      </w:r>
      <w:proofErr w:type="spellStart"/>
      <w:r w:rsidRPr="00791F5B">
        <w:rPr>
          <w:b w:val="0"/>
          <w:bCs w:val="0"/>
        </w:rPr>
        <w:t>arXiv</w:t>
      </w:r>
      <w:proofErr w:type="spellEnd"/>
      <w:r w:rsidRPr="00791F5B">
        <w:rPr>
          <w:b w:val="0"/>
          <w:bCs w:val="0"/>
        </w:rPr>
        <w:t>, 2020.</w:t>
      </w:r>
    </w:p>
    <w:p w14:paraId="7ABD21D6" w14:textId="77777777" w:rsidR="0018700B" w:rsidRPr="0018700B" w:rsidRDefault="0018700B" w:rsidP="0018700B">
      <w:pPr>
        <w:pStyle w:val="Title"/>
        <w:spacing w:line="264" w:lineRule="auto"/>
        <w:rPr>
          <w:b w:val="0"/>
          <w:bCs w:val="0"/>
          <w:color w:val="333333"/>
          <w:sz w:val="24"/>
          <w:szCs w:val="24"/>
        </w:rPr>
      </w:pPr>
    </w:p>
    <w:p w14:paraId="4C942AAF" w14:textId="77777777" w:rsidR="00F3588A" w:rsidRDefault="00F3588A" w:rsidP="00F3588A">
      <w:pPr>
        <w:pStyle w:val="Title"/>
        <w:rPr>
          <w:b w:val="0"/>
          <w:bCs w:val="0"/>
          <w:color w:val="333333"/>
          <w:sz w:val="24"/>
          <w:szCs w:val="24"/>
        </w:rPr>
      </w:pPr>
    </w:p>
    <w:sectPr w:rsidR="00F3588A" w:rsidSect="00A34645">
      <w:type w:val="continuous"/>
      <w:pgSz w:w="12240" w:h="15840"/>
      <w:pgMar w:top="1360" w:right="136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8C1B6C"/>
    <w:multiLevelType w:val="hybridMultilevel"/>
    <w:tmpl w:val="28546670"/>
    <w:lvl w:ilvl="0" w:tplc="DFECDD1C">
      <w:start w:val="1"/>
      <w:numFmt w:val="decimal"/>
      <w:lvlText w:val="%1."/>
      <w:lvlJc w:val="left"/>
      <w:pPr>
        <w:ind w:left="460" w:hanging="360"/>
      </w:pPr>
      <w:rPr>
        <w:rFonts w:hint="default"/>
      </w:rPr>
    </w:lvl>
    <w:lvl w:ilvl="1" w:tplc="08090019" w:tentative="1">
      <w:start w:val="1"/>
      <w:numFmt w:val="lowerLetter"/>
      <w:lvlText w:val="%2."/>
      <w:lvlJc w:val="left"/>
      <w:pPr>
        <w:ind w:left="1180" w:hanging="360"/>
      </w:pPr>
    </w:lvl>
    <w:lvl w:ilvl="2" w:tplc="0809001B" w:tentative="1">
      <w:start w:val="1"/>
      <w:numFmt w:val="lowerRoman"/>
      <w:lvlText w:val="%3."/>
      <w:lvlJc w:val="right"/>
      <w:pPr>
        <w:ind w:left="1900" w:hanging="180"/>
      </w:pPr>
    </w:lvl>
    <w:lvl w:ilvl="3" w:tplc="0809000F" w:tentative="1">
      <w:start w:val="1"/>
      <w:numFmt w:val="decimal"/>
      <w:lvlText w:val="%4."/>
      <w:lvlJc w:val="left"/>
      <w:pPr>
        <w:ind w:left="2620" w:hanging="360"/>
      </w:pPr>
    </w:lvl>
    <w:lvl w:ilvl="4" w:tplc="08090019" w:tentative="1">
      <w:start w:val="1"/>
      <w:numFmt w:val="lowerLetter"/>
      <w:lvlText w:val="%5."/>
      <w:lvlJc w:val="left"/>
      <w:pPr>
        <w:ind w:left="3340" w:hanging="360"/>
      </w:pPr>
    </w:lvl>
    <w:lvl w:ilvl="5" w:tplc="0809001B" w:tentative="1">
      <w:start w:val="1"/>
      <w:numFmt w:val="lowerRoman"/>
      <w:lvlText w:val="%6."/>
      <w:lvlJc w:val="right"/>
      <w:pPr>
        <w:ind w:left="4060" w:hanging="180"/>
      </w:pPr>
    </w:lvl>
    <w:lvl w:ilvl="6" w:tplc="0809000F" w:tentative="1">
      <w:start w:val="1"/>
      <w:numFmt w:val="decimal"/>
      <w:lvlText w:val="%7."/>
      <w:lvlJc w:val="left"/>
      <w:pPr>
        <w:ind w:left="4780" w:hanging="360"/>
      </w:pPr>
    </w:lvl>
    <w:lvl w:ilvl="7" w:tplc="08090019" w:tentative="1">
      <w:start w:val="1"/>
      <w:numFmt w:val="lowerLetter"/>
      <w:lvlText w:val="%8."/>
      <w:lvlJc w:val="left"/>
      <w:pPr>
        <w:ind w:left="5500" w:hanging="360"/>
      </w:pPr>
    </w:lvl>
    <w:lvl w:ilvl="8" w:tplc="0809001B" w:tentative="1">
      <w:start w:val="1"/>
      <w:numFmt w:val="lowerRoman"/>
      <w:lvlText w:val="%9."/>
      <w:lvlJc w:val="right"/>
      <w:pPr>
        <w:ind w:left="6220" w:hanging="180"/>
      </w:pPr>
    </w:lvl>
  </w:abstractNum>
  <w:num w:numId="1" w16cid:durableId="20682639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8B5599"/>
    <w:rsid w:val="000B2689"/>
    <w:rsid w:val="0018700B"/>
    <w:rsid w:val="0061315F"/>
    <w:rsid w:val="00624127"/>
    <w:rsid w:val="00653356"/>
    <w:rsid w:val="006D7142"/>
    <w:rsid w:val="00716745"/>
    <w:rsid w:val="00730CAC"/>
    <w:rsid w:val="00791F5B"/>
    <w:rsid w:val="008B5599"/>
    <w:rsid w:val="00937F7D"/>
    <w:rsid w:val="00A34645"/>
    <w:rsid w:val="00AB2BEA"/>
    <w:rsid w:val="00BA1064"/>
    <w:rsid w:val="00C06C94"/>
    <w:rsid w:val="00CA4D47"/>
    <w:rsid w:val="00F358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5DF675"/>
  <w15:docId w15:val="{B3F5D722-5E68-4C38-9F35-D98885309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100"/>
    </w:pPr>
  </w:style>
  <w:style w:type="paragraph" w:styleId="Title">
    <w:name w:val="Title"/>
    <w:basedOn w:val="Normal"/>
    <w:link w:val="TitleChar"/>
    <w:uiPriority w:val="10"/>
    <w:qFormat/>
    <w:pPr>
      <w:spacing w:before="68"/>
      <w:ind w:left="100"/>
    </w:pPr>
    <w:rPr>
      <w:b/>
      <w:bCs/>
      <w:sz w:val="26"/>
      <w:szCs w:val="26"/>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791F5B"/>
    <w:rPr>
      <w:color w:val="0000FF" w:themeColor="hyperlink"/>
      <w:u w:val="single"/>
    </w:rPr>
  </w:style>
  <w:style w:type="character" w:styleId="UnresolvedMention">
    <w:name w:val="Unresolved Mention"/>
    <w:basedOn w:val="DefaultParagraphFont"/>
    <w:uiPriority w:val="99"/>
    <w:semiHidden/>
    <w:unhideWhenUsed/>
    <w:rsid w:val="00791F5B"/>
    <w:rPr>
      <w:color w:val="605E5C"/>
      <w:shd w:val="clear" w:color="auto" w:fill="E1DFDD"/>
    </w:rPr>
  </w:style>
  <w:style w:type="character" w:styleId="FollowedHyperlink">
    <w:name w:val="FollowedHyperlink"/>
    <w:basedOn w:val="DefaultParagraphFont"/>
    <w:uiPriority w:val="99"/>
    <w:semiHidden/>
    <w:unhideWhenUsed/>
    <w:rsid w:val="000B2689"/>
    <w:rPr>
      <w:color w:val="800080" w:themeColor="followedHyperlink"/>
      <w:u w:val="single"/>
    </w:rPr>
  </w:style>
  <w:style w:type="character" w:customStyle="1" w:styleId="BodyTextChar">
    <w:name w:val="Body Text Char"/>
    <w:basedOn w:val="DefaultParagraphFont"/>
    <w:link w:val="BodyText"/>
    <w:uiPriority w:val="1"/>
    <w:rsid w:val="00624127"/>
    <w:rPr>
      <w:rFonts w:ascii="Times New Roman" w:eastAsia="Times New Roman" w:hAnsi="Times New Roman" w:cs="Times New Roman"/>
    </w:rPr>
  </w:style>
  <w:style w:type="character" w:customStyle="1" w:styleId="TitleChar">
    <w:name w:val="Title Char"/>
    <w:basedOn w:val="DefaultParagraphFont"/>
    <w:link w:val="Title"/>
    <w:uiPriority w:val="10"/>
    <w:rsid w:val="00AB2BEA"/>
    <w:rPr>
      <w:rFonts w:ascii="Times New Roman" w:eastAsia="Times New Roman" w:hAnsi="Times New Roman" w:cs="Times New Roman"/>
      <w:b/>
      <w:b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422916">
      <w:bodyDiv w:val="1"/>
      <w:marLeft w:val="0"/>
      <w:marRight w:val="0"/>
      <w:marTop w:val="0"/>
      <w:marBottom w:val="0"/>
      <w:divBdr>
        <w:top w:val="none" w:sz="0" w:space="0" w:color="auto"/>
        <w:left w:val="none" w:sz="0" w:space="0" w:color="auto"/>
        <w:bottom w:val="none" w:sz="0" w:space="0" w:color="auto"/>
        <w:right w:val="none" w:sz="0" w:space="0" w:color="auto"/>
      </w:divBdr>
    </w:div>
    <w:div w:id="20850324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rxiv.org/abs/2001.06747v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16/j.ifacol.2020.12.070" TargetMode="External"/><Relationship Id="rId5" Type="http://schemas.openxmlformats.org/officeDocument/2006/relationships/hyperlink" Target="https://arxiv.org/abs/2107.01694"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406</TotalTime>
  <Pages>2</Pages>
  <Words>715</Words>
  <Characters>3929</Characters>
  <Application>Microsoft Office Word</Application>
  <DocSecurity>0</DocSecurity>
  <Lines>75</Lines>
  <Paragraphs>20</Paragraphs>
  <ScaleCrop>false</ScaleCrop>
  <HeadingPairs>
    <vt:vector size="2" baseType="variant">
      <vt:variant>
        <vt:lpstr>Title</vt:lpstr>
      </vt:variant>
      <vt:variant>
        <vt:i4>1</vt:i4>
      </vt:variant>
    </vt:vector>
  </HeadingPairs>
  <TitlesOfParts>
    <vt:vector size="1" baseType="lpstr">
      <vt:lpstr>EUROP Application</vt:lpstr>
    </vt:vector>
  </TitlesOfParts>
  <Company/>
  <LinksUpToDate>false</LinksUpToDate>
  <CharactersWithSpaces>4624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EUROP Application</dc:title>
  <cp:lastModifiedBy>Claudio Vestini</cp:lastModifiedBy>
  <cp:revision>4</cp:revision>
  <dcterms:created xsi:type="dcterms:W3CDTF">2024-02-07T12:42:00Z</dcterms:created>
  <dcterms:modified xsi:type="dcterms:W3CDTF">2024-02-07T21:18:00Z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m122 Google Docs Renderer</vt:lpwstr>
  </property>
  <property fmtid="{D5CDD505-2E9C-101B-9397-08002B2CF9AE}" pid="3" name="GrammarlyDocumentId">
    <vt:lpwstr>9a98ffcdd2b476dcef09d0f63503d338a12c19fc53489c4d70249f10501f6cb9</vt:lpwstr>
  </property>
</Properties>
</file>