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t xml:space="preserve">Logo Cloud Temple</w:t>
      </w:r>
    </w:p>
    <w:bookmarkStart w:id="20" w:name="convention-de-services-iaas"/>
    <w:p>
      <w:pPr>
        <w:pStyle w:val="Heading1"/>
      </w:pPr>
      <w:r>
        <w:t xml:space="preserve">1. CONVENTION DE SERVICES IaaS</w:t>
      </w:r>
    </w:p>
    <w:tbl>
      <w:tblPr>
        <w:tblStyle w:val="Table"/>
        <w:tblW w:type="pct" w:w="4865"/>
        <w:tblLayout w:type="fixed"/>
        <w:tblLook w:firstRow="1" w:lastRow="0" w:firstColumn="0" w:lastColumn="0" w:noHBand="0" w:noVBand="0" w:val="0020"/>
      </w:tblPr>
      <w:tblGrid>
        <w:gridCol w:w="3317"/>
        <w:gridCol w:w="438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Destinataires 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COMMANDITAIRE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Référence du documents</w:t>
            </w:r>
            <w:r>
              <w:t xml:space="preserve"> </w:t>
            </w:r>
            <w:r>
              <w:t xml:space="preserve">251701_v3.0.docx_jour JJ AAAA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CT.AM.JUR.ANX CdS-IaaS 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Ihre Gesprächspartner *** Vorn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 ** Nachname*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count-Manager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Mail:</w:t>
            </w:r>
            <w:r>
              <w:t xml:space="preserve"> </w:t>
            </w:r>
            <w:r>
              <w:rPr>
                <w:i/>
                <w:iCs/>
              </w:rPr>
              <w:t xml:space="preserve">Vorname</w:t>
            </w:r>
            <w:r>
              <w:rPr>
                <w:i/>
                <w:iCs/>
              </w:rPr>
              <w:t xml:space="preserve"> </w:t>
            </w:r>
            <w:r>
              <w:t xml:space="preserve">@cloud-temple.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Datum der letzten Wette am 17.</w:t>
            </w:r>
            <w:r>
              <w:t xml:space="preserve"> </w:t>
            </w:r>
            <w:r>
              <w:t xml:space="preserve">g**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01.2025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Validierungsdatum Tag JJ AAAA</w:t>
            </w:r>
            <w:r>
              <w:t xml:space="preserve"> </w:t>
            </w:r>
            <w:r>
              <w:t xml:space="preserve">rtraglich **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** Version ** ** Datum ** ** Aktion ** ** Autor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V0.1 07/06/2022 Erstes Schreiben von Lorena Alcalde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V0.2 14.09.2022 Lorena Alkalde Anreicherung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V1.0 30/12/2022 Integrationsindikatoren Lorena Alcalde</w:t>
            </w:r>
            <w:r>
              <w:t xml:space="preserve"> </w:t>
            </w:r>
            <w:r>
              <w:t xml:space="preserve">Änderung Fuß von Seite Lorraine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Lorraine Alcald Anreicherung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Lorraine Alcald Anreicherung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Kapital und Lorraine bearbeiten</w:t>
            </w:r>
            <w:r>
              <w:t xml:space="preserve"> </w:t>
            </w:r>
            <w:r>
              <w:t xml:space="preserve">Anreicherung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Lorraine Schließung</w:t>
            </w:r>
            <w:r>
              <w:t xml:space="preserve"> </w:t>
            </w:r>
            <w:r>
              <w:t xml:space="preserve">Lorraine Schließung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Anpassungen SNC Nicolas</w:t>
            </w:r>
            <w:r>
              <w:t xml:space="preserve"> </w:t>
            </w:r>
            <w:r>
              <w:t xml:space="preserve">Aprioux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Lord Publishing Alcald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Cazaux Anreicherung Cazaux</w:t>
            </w:r>
          </w:p>
        </w:tc>
      </w:tr>
    </w:tbl>
    <w:bookmarkEnd w:id="20"/>
    <w:bookmarkStart w:id="21" w:name="tisch-des-verkaufs"/>
    <w:p>
      <w:pPr>
        <w:pStyle w:val="Heading1"/>
      </w:pPr>
      <w:r>
        <w:t xml:space="preserve">2. Tisch des Verkaufs</w:t>
      </w:r>
    </w:p>
    <w:p>
      <w:pPr>
        <w:pStyle w:val="Compact"/>
        <w:numPr>
          <w:ilvl w:val="0"/>
          <w:numId w:val="1001"/>
        </w:numPr>
      </w:pPr>
      <w:r>
        <w:t xml:space="preserve">[1.** Servicevereinbarung</w:t>
      </w:r>
      <w:r>
        <w:t xml:space="preserve"> </w:t>
      </w:r>
      <w:r>
        <w:t xml:space="preserve">IaaS **] (#xc3786c07943ae71DEC5191B24567A7F31CB6100)</w:t>
      </w:r>
    </w:p>
    <w:p>
      <w:pPr>
        <w:pStyle w:val="Compact"/>
        <w:numPr>
          <w:ilvl w:val="0"/>
          <w:numId w:val="1001"/>
        </w:numPr>
      </w:pPr>
      <w:r>
        <w:t xml:space="preserve">[2.** Caler of Contents **] (#x3DFFD8C5466B60A9D1847F151E1FF8BF27D5BBE)</w:t>
      </w:r>
    </w:p>
    <w:p>
      <w:pPr>
        <w:pStyle w:val="Compact"/>
        <w:numPr>
          <w:ilvl w:val="0"/>
          <w:numId w:val="1001"/>
        </w:numPr>
      </w:pPr>
      <w:r>
        <w:t xml:space="preserve">[3.Vorläufigkeit und</w:t>
      </w:r>
      <w:r>
        <w:t xml:space="preserve"> </w:t>
      </w:r>
      <w:r>
        <w:t xml:space="preserve">Glossar] (#x9df3d46524e9accaDa5b6725a4b3f19a8b9b42)</w:t>
      </w:r>
    </w:p>
    <w:p>
      <w:pPr>
        <w:pStyle w:val="Compact"/>
        <w:numPr>
          <w:ilvl w:val="0"/>
          <w:numId w:val="1001"/>
        </w:numPr>
      </w:pPr>
      <w:hyperlink w:anchor="vorläufig">
        <w:r>
          <w:rPr>
            <w:rStyle w:val="Hyperlink"/>
          </w:rPr>
          <w:t xml:space="preserve">3.1.Vorläufig</w:t>
        </w:r>
      </w:hyperlink>
      <w:r>
        <w:t xml:space="preserve"> </w:t>
      </w:r>
      <w:r>
        <w:t xml:space="preserve">(#x72BDBCBBF0C088C7B664A8859DFF9C5E94A1C67)</w:t>
      </w:r>
    </w:p>
    <w:p>
      <w:pPr>
        <w:pStyle w:val="Compact"/>
        <w:numPr>
          <w:ilvl w:val="0"/>
          <w:numId w:val="1001"/>
        </w:numPr>
      </w:pPr>
      <w:hyperlink w:anchor="glossar">
        <w:r>
          <w:rPr>
            <w:rStyle w:val="Hyperlink"/>
          </w:rPr>
          <w:t xml:space="preserve">3.2.Glossar</w:t>
        </w:r>
      </w:hyperlink>
      <w:r>
        <w:t xml:space="preserve"> </w:t>
      </w:r>
      <w:r>
        <w:t xml:space="preserve">(#x0bd89fddb7967dedd9680ed4f7efa236729ef3e)</w:t>
      </w:r>
    </w:p>
    <w:p>
      <w:pPr>
        <w:pStyle w:val="Compact"/>
        <w:numPr>
          <w:ilvl w:val="0"/>
          <w:numId w:val="1001"/>
        </w:numPr>
      </w:pPr>
      <w:r>
        <w:t xml:space="preserve">[4.Acronymes] (#x69EA33329484B8F0083D344AD9C43D7DABDCCC9)</w:t>
      </w:r>
    </w:p>
    <w:p>
      <w:pPr>
        <w:pStyle w:val="Compact"/>
        <w:numPr>
          <w:ilvl w:val="0"/>
          <w:numId w:val="1001"/>
        </w:numPr>
      </w:pPr>
      <w:r>
        <w:t xml:space="preserve">[5.Gegenstand dieser Vereinbarung von</w:t>
      </w:r>
      <w:r>
        <w:t xml:space="preserve"> </w:t>
      </w:r>
      <w:r>
        <w:t xml:space="preserve">Service] (#x30E34F28E13326548963A87E3ABD4D1A022DE5)</w:t>
      </w:r>
    </w:p>
    <w:p>
      <w:pPr>
        <w:pStyle w:val="Compact"/>
        <w:numPr>
          <w:ilvl w:val="0"/>
          <w:numId w:val="1001"/>
        </w:numPr>
      </w:pPr>
      <w:r>
        <w:t xml:space="preserve">[6.Audit] (#x910E2801262DE94AF71544B8FB509CC70CC79A)</w:t>
      </w:r>
    </w:p>
    <w:p>
      <w:pPr>
        <w:pStyle w:val="Compact"/>
        <w:numPr>
          <w:ilvl w:val="0"/>
          <w:numId w:val="1001"/>
        </w:numPr>
      </w:pPr>
      <w:r>
        <w:t xml:space="preserve">[7.Beschreibung des Dienstes] (#x3D12A6C93683F0122F5F9A8E21E7C12FC92490B)</w:t>
      </w:r>
    </w:p>
    <w:p>
      <w:pPr>
        <w:pStyle w:val="Compact"/>
        <w:numPr>
          <w:ilvl w:val="0"/>
          <w:numId w:val="1001"/>
        </w:numPr>
      </w:pPr>
      <w:r>
        <w:t xml:space="preserve">[7.1.Haftungsmodell</w:t>
      </w:r>
      <w:r>
        <w:t xml:space="preserve"> </w:t>
      </w:r>
      <w:r>
        <w:t xml:space="preserve">Shared] (#x5AB2FD5CEB0DC76FEBF8E32F5665B4447285437)</w:t>
      </w:r>
    </w:p>
    <w:p>
      <w:pPr>
        <w:pStyle w:val="Compact"/>
        <w:numPr>
          <w:ilvl w:val="0"/>
          <w:numId w:val="1001"/>
        </w:numPr>
      </w:pPr>
      <w:r>
        <w:t xml:space="preserve">[7.2.Detaillierte Präsentation des Umfangs von</w:t>
      </w:r>
      <w:r>
        <w:t xml:space="preserve"> </w:t>
      </w:r>
      <w:r>
        <w:t xml:space="preserve">Service] (#xd81ad0562f6e00e693916802084624b2a4885a5)</w:t>
      </w:r>
    </w:p>
    <w:p>
      <w:pPr>
        <w:pStyle w:val="Compact"/>
        <w:numPr>
          <w:ilvl w:val="0"/>
          <w:numId w:val="1001"/>
        </w:numPr>
      </w:pPr>
      <w:r>
        <w:t xml:space="preserve">[7.2.1.Infrastruktur</w:t>
      </w:r>
      <w:r>
        <w:t xml:space="preserve"> </w:t>
      </w:r>
      <w:r>
        <w:t xml:space="preserve">Rechenzentren] (#xfd30a9e9ca5808eb0d2b0f76d875f494726d)))</w:t>
      </w:r>
    </w:p>
    <w:p>
      <w:pPr>
        <w:pStyle w:val="Compact"/>
        <w:numPr>
          <w:ilvl w:val="0"/>
          <w:numId w:val="1001"/>
        </w:numPr>
      </w:pPr>
      <w:r>
        <w:t xml:space="preserve">[7.2.2.Software -Infrastruktur für</w:t>
      </w:r>
      <w:r>
        <w:t xml:space="preserve"> </w:t>
      </w:r>
      <w:r>
        <w:t xml:space="preserve">Service] (#x429D709E167549B1F31F4CDBE79BBF526F0B1DC)</w:t>
      </w:r>
    </w:p>
    <w:p>
      <w:pPr>
        <w:pStyle w:val="Compact"/>
        <w:numPr>
          <w:ilvl w:val="0"/>
          <w:numId w:val="1001"/>
        </w:numPr>
      </w:pPr>
      <w:r>
        <w:t xml:space="preserve">[7.2.3.Infrastruktur</w:t>
      </w:r>
      <w:r>
        <w:t xml:space="preserve"> </w:t>
      </w:r>
      <w:r>
        <w:t xml:space="preserve">Berechnung] (#x432E4596F65DD97FFB3314BC9725A08A9369F4D)</w:t>
      </w:r>
    </w:p>
    <w:p>
      <w:pPr>
        <w:pStyle w:val="Compact"/>
        <w:numPr>
          <w:ilvl w:val="0"/>
          <w:numId w:val="1001"/>
        </w:numPr>
      </w:pPr>
      <w:r>
        <w:t xml:space="preserve">[7.2.4.Infrastruktur von</w:t>
      </w:r>
      <w:r>
        <w:t xml:space="preserve"> </w:t>
      </w:r>
      <w:r>
        <w:t xml:space="preserve">Speicherung] (#x30efbac0441Ad31cd6ec07282a96ACFCD07E9B2)</w:t>
      </w:r>
    </w:p>
    <w:p>
      <w:pPr>
        <w:pStyle w:val="Compact"/>
        <w:numPr>
          <w:ilvl w:val="0"/>
          <w:numId w:val="1001"/>
        </w:numPr>
      </w:pPr>
      <w:r>
        <w:t xml:space="preserve">[7.2.5.Netzwerkinfrastruktur</w:t>
      </w:r>
      <w:r>
        <w:t xml:space="preserve"> </w:t>
      </w:r>
      <w:r>
        <w:t xml:space="preserve">Global] (#x78b4484e386c95a988a698cd84bae342679ddb5)</w:t>
      </w:r>
    </w:p>
    <w:p>
      <w:pPr>
        <w:pStyle w:val="Compact"/>
        <w:numPr>
          <w:ilvl w:val="0"/>
          <w:numId w:val="1001"/>
        </w:numPr>
      </w:pPr>
      <w:r>
        <w:t xml:space="preserve">[7.2.6.Infrastruktur von</w:t>
      </w:r>
      <w:r>
        <w:t xml:space="preserve"> </w:t>
      </w:r>
      <w:r>
        <w:t xml:space="preserve">Backup] (#XDF2C99A6958CA2F79A1CF60659DD5A3029AB31C)</w:t>
      </w:r>
    </w:p>
    <w:p>
      <w:pPr>
        <w:pStyle w:val="Compact"/>
        <w:numPr>
          <w:ilvl w:val="0"/>
          <w:numId w:val="1001"/>
        </w:numPr>
      </w:pPr>
      <w:r>
        <w:t xml:space="preserve">[7.2.7.Implementierung von Aktivitäts- oder Aktivitätslösungen oder</w:t>
      </w:r>
      <w:r>
        <w:t xml:space="preserve"> </w:t>
      </w:r>
      <w:r>
        <w:t xml:space="preserve">Kontinuität der Aktivität] (#x5610bffa77dd1118e87cbee05f204158179c962f)</w:t>
      </w:r>
    </w:p>
    <w:p>
      <w:pPr>
        <w:pStyle w:val="Compact"/>
        <w:numPr>
          <w:ilvl w:val="0"/>
          <w:numId w:val="1001"/>
        </w:numPr>
      </w:pPr>
      <w:r>
        <w:t xml:space="preserve">[7.3.Einschränkungen der Dienste im IaaS -Modell</w:t>
      </w:r>
      <w:r>
        <w:t xml:space="preserve"> </w:t>
      </w:r>
      <w:r>
        <w:t xml:space="preserve">Qualifiziert] (#x9AFA960AE3673041349D17F6A264DE8FB35D3B0)</w:t>
      </w:r>
    </w:p>
    <w:p>
      <w:pPr>
        <w:pStyle w:val="Compact"/>
        <w:numPr>
          <w:ilvl w:val="0"/>
          <w:numId w:val="1001"/>
        </w:numPr>
      </w:pPr>
      <w:r>
        <w:t xml:space="preserve">[7.3.1.Services verwaltet in</w:t>
      </w:r>
      <w:r>
        <w:t xml:space="preserve"> </w:t>
      </w:r>
      <w:r>
        <w:t xml:space="preserve">Run] (#xa64cd9832e1132b6d2d4e8ef50163a925fcceeb)</w:t>
      </w:r>
    </w:p>
    <w:p>
      <w:pPr>
        <w:pStyle w:val="Compact"/>
        <w:numPr>
          <w:ilvl w:val="0"/>
          <w:numId w:val="1001"/>
        </w:numPr>
      </w:pPr>
      <w:r>
        <w:t xml:space="preserve">[7.3.2.Konfiguration von</w:t>
      </w:r>
      <w:r>
        <w:t xml:space="preserve"> </w:t>
      </w:r>
      <w:r>
        <w:t xml:space="preserve">Secours] (#xfc39a8474ae9c8d4eedbb3b8e543dc0a137bd71)</w:t>
      </w:r>
    </w:p>
    <w:p>
      <w:pPr>
        <w:pStyle w:val="Compact"/>
        <w:numPr>
          <w:ilvl w:val="0"/>
          <w:numId w:val="1001"/>
        </w:numPr>
      </w:pPr>
      <w:r>
        <w:t xml:space="preserve">[7.3.3.Konfiguration von</w:t>
      </w:r>
      <w:r>
        <w:t xml:space="preserve"> </w:t>
      </w:r>
      <w:r>
        <w:t xml:space="preserve">Backup] (#xfd8664b285a4442773de0c9989256f92bc1f6ca2)</w:t>
      </w:r>
    </w:p>
    <w:p>
      <w:pPr>
        <w:pStyle w:val="Compact"/>
        <w:numPr>
          <w:ilvl w:val="0"/>
          <w:numId w:val="1001"/>
        </w:numPr>
      </w:pPr>
      <w:r>
        <w:t xml:space="preserve">[7.4.Implementierung von</w:t>
      </w:r>
      <w:r>
        <w:t xml:space="preserve"> </w:t>
      </w:r>
      <w:r>
        <w:t xml:space="preserve">Service] (#x93E04903630A0A81D7B9EBC1A4C5A933DFA0088)</w:t>
      </w:r>
    </w:p>
    <w:p>
      <w:pPr>
        <w:pStyle w:val="Compact"/>
        <w:numPr>
          <w:ilvl w:val="0"/>
          <w:numId w:val="1001"/>
        </w:numPr>
      </w:pPr>
      <w:r>
        <w:t xml:space="preserve">[7.4.1.Voraussetzung</w:t>
      </w:r>
      <w:r>
        <w:t xml:space="preserve"> </w:t>
      </w:r>
      <w:r>
        <w:t xml:space="preserve">Techniken] (#x59ca4242dbed0E6D5E3EFA2BA91A80866647F92)</w:t>
      </w:r>
    </w:p>
    <w:p>
      <w:pPr>
        <w:pStyle w:val="Compact"/>
        <w:numPr>
          <w:ilvl w:val="0"/>
          <w:numId w:val="1001"/>
        </w:numPr>
      </w:pPr>
      <w:hyperlink w:anchor="standort-des-dienstes-in-frankreich">
        <w:r>
          <w:rPr>
            <w:rStyle w:val="Hyperlink"/>
          </w:rPr>
          <w:t xml:space="preserve">7.5.Standort des Dienstes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Frankreich</w:t>
        </w:r>
      </w:hyperlink>
      <w:r>
        <w:t xml:space="preserve"> </w:t>
      </w:r>
      <w:r>
        <w:t xml:space="preserve">(#XDCEA3053ACC96CF4C715A189F3D7D9842C70915)</w:t>
      </w:r>
    </w:p>
    <w:p>
      <w:pPr>
        <w:pStyle w:val="Compact"/>
        <w:numPr>
          <w:ilvl w:val="0"/>
          <w:numId w:val="1001"/>
        </w:numPr>
      </w:pPr>
      <w:r>
        <w:t xml:space="preserve">[7.5.1.Standort von Rechenzentren, die die Hosting der</w:t>
      </w:r>
      <w:r>
        <w:t xml:space="preserve"> </w:t>
      </w:r>
      <w:r>
        <w:t xml:space="preserve">Service] (#XAC9C0F685576284F9431D5C1B6DF99BC7AB662B)</w:t>
      </w:r>
    </w:p>
    <w:p>
      <w:pPr>
        <w:pStyle w:val="Compact"/>
        <w:numPr>
          <w:ilvl w:val="0"/>
          <w:numId w:val="1001"/>
        </w:numPr>
      </w:pPr>
      <w:r>
        <w:t xml:space="preserve">[7.5.2.Standort der Tempelagenturen, die betrieben werden</w:t>
      </w:r>
      <w:r>
        <w:t xml:space="preserve"> </w:t>
      </w:r>
      <w:r>
        <w:t xml:space="preserve">Service] (#x528B4E5E85B084898DF1A4B0EE003FDA94DCA5D)</w:t>
      </w:r>
    </w:p>
    <w:p>
      <w:pPr>
        <w:pStyle w:val="Compact"/>
        <w:numPr>
          <w:ilvl w:val="0"/>
          <w:numId w:val="1001"/>
        </w:numPr>
      </w:pPr>
      <w:hyperlink w:anchor="unterstützung">
        <w:r>
          <w:rPr>
            <w:rStyle w:val="Hyperlink"/>
          </w:rPr>
          <w:t xml:space="preserve">7.6.Unterstützung</w:t>
        </w:r>
      </w:hyperlink>
      <w:r>
        <w:t xml:space="preserve"> </w:t>
      </w:r>
      <w:r>
        <w:t xml:space="preserve">(#x451baaab9b4764d97da95395b7e24265143a283)</w:t>
      </w:r>
    </w:p>
    <w:p>
      <w:pPr>
        <w:pStyle w:val="Compact"/>
        <w:numPr>
          <w:ilvl w:val="0"/>
          <w:numId w:val="1001"/>
        </w:numPr>
      </w:pPr>
      <w:r>
        <w:t xml:space="preserve">[7.6.1.Art der Unterstützung, die das begleitet</w:t>
      </w:r>
      <w:r>
        <w:t xml:space="preserve"> </w:t>
      </w:r>
      <w:r>
        <w:t xml:space="preserve">Service] (#x192381358BCAD693BAA22B16773742F4CF227)</w:t>
      </w:r>
    </w:p>
    <w:p>
      <w:pPr>
        <w:pStyle w:val="Compact"/>
        <w:numPr>
          <w:ilvl w:val="0"/>
          <w:numId w:val="1001"/>
        </w:numPr>
      </w:pPr>
      <w:r>
        <w:t xml:space="preserve">[7.6.2.Support -Service -Anfrage</w:t>
      </w:r>
      <w:r>
        <w:t xml:space="preserve"> </w:t>
      </w:r>
      <w:r>
        <w:t xml:space="preserve">Technik] (#x03EF425751011df1818d9488df5625576c33f5e)</w:t>
      </w:r>
    </w:p>
    <w:p>
      <w:pPr>
        <w:pStyle w:val="Compact"/>
        <w:numPr>
          <w:ilvl w:val="0"/>
          <w:numId w:val="1001"/>
        </w:numPr>
      </w:pPr>
      <w:r>
        <w:t xml:space="preserve">[7.6.3.Managementprozess</w:t>
      </w:r>
      <w:r>
        <w:t xml:space="preserve"> </w:t>
      </w:r>
      <w:r>
        <w:t xml:space="preserve">Vorfälle] (#XAC759D2AEEE6D685130DEA876D7A1ED0388B994)</w:t>
      </w:r>
    </w:p>
    <w:p>
      <w:pPr>
        <w:pStyle w:val="Compact"/>
        <w:numPr>
          <w:ilvl w:val="0"/>
          <w:numId w:val="1001"/>
        </w:numPr>
      </w:pPr>
      <w:r>
        <w:t xml:space="preserve">[7.6.4.Priorisierungsprozess von</w:t>
      </w:r>
      <w:r>
        <w:t xml:space="preserve"> </w:t>
      </w:r>
      <w:r>
        <w:t xml:space="preserve">Behandlungen] (#x30A0604E2D2957AE43D1F1FE2CB9C04F5C05885)</w:t>
      </w:r>
    </w:p>
    <w:p>
      <w:pPr>
        <w:pStyle w:val="Compact"/>
        <w:numPr>
          <w:ilvl w:val="0"/>
          <w:numId w:val="1001"/>
        </w:numPr>
      </w:pPr>
      <w:r>
        <w:t xml:space="preserve">[7.6.5.Sprache und Ort des Dienstes</w:t>
      </w:r>
      <w:r>
        <w:t xml:space="preserve"> </w:t>
      </w:r>
      <w:r>
        <w:t xml:space="preserve">Unterstützung] (#x1AFC584A9D5F886A1AD8B9CA498773D2E10CFF8)</w:t>
      </w:r>
    </w:p>
    <w:p>
      <w:pPr>
        <w:pStyle w:val="Compact"/>
        <w:numPr>
          <w:ilvl w:val="0"/>
          <w:numId w:val="1001"/>
        </w:numPr>
      </w:pPr>
      <w:r>
        <w:t xml:space="preserve">[8.Verpflichtungen und Ebenen von</w:t>
      </w:r>
      <w:r>
        <w:t xml:space="preserve"> </w:t>
      </w:r>
      <w:r>
        <w:t xml:space="preserve">Services] (#xf1662fa601c14a35f4b238c1effe9c712d3efbe)</w:t>
      </w:r>
    </w:p>
    <w:p>
      <w:pPr>
        <w:pStyle w:val="Compact"/>
        <w:numPr>
          <w:ilvl w:val="0"/>
          <w:numId w:val="1001"/>
        </w:numPr>
      </w:pPr>
      <w:r>
        <w:t xml:space="preserve">[8.1.Verfügbarkeitsverpflichtungen von</w:t>
      </w:r>
      <w:r>
        <w:t xml:space="preserve"> </w:t>
      </w:r>
      <w:r>
        <w:t xml:space="preserve">Infrastruktur] (#x8E3206AED4045E8FBAAD84D93EA150DB664EB69)</w:t>
      </w:r>
    </w:p>
    <w:p>
      <w:pPr>
        <w:pStyle w:val="Compact"/>
        <w:numPr>
          <w:ilvl w:val="0"/>
          <w:numId w:val="1001"/>
        </w:numPr>
      </w:pPr>
      <w:r>
        <w:t xml:space="preserve">[8.2.Schnittstellenverfügbarkeitsverpflichtung</w:t>
      </w:r>
      <w:r>
        <w:t xml:space="preserve"> </w:t>
      </w:r>
      <w:r>
        <w:t xml:space="preserve">Commander] (#x86570F48E6DA9370F069232B4AE175183F2DAFD)</w:t>
      </w:r>
    </w:p>
    <w:p>
      <w:pPr>
        <w:pStyle w:val="Compact"/>
        <w:numPr>
          <w:ilvl w:val="0"/>
          <w:numId w:val="1001"/>
        </w:numPr>
      </w:pPr>
      <w:r>
        <w:t xml:space="preserve">[8.3.Verfügbarkeitszunahme von</w:t>
      </w:r>
      <w:r>
        <w:t xml:space="preserve"> </w:t>
      </w:r>
      <w:r>
        <w:t xml:space="preserve">Unterstützung] (#xfc8548982b300528a67725f1705f15805f405f0)</w:t>
      </w:r>
    </w:p>
    <w:p>
      <w:pPr>
        <w:pStyle w:val="Compact"/>
        <w:numPr>
          <w:ilvl w:val="0"/>
          <w:numId w:val="1001"/>
        </w:numPr>
      </w:pPr>
      <w:r>
        <w:t xml:space="preserve">[8.4.Verfügbarkeit von Objektspeicher</w:t>
      </w:r>
      <w:r>
        <w:t xml:space="preserve"> </w:t>
      </w:r>
      <w:r>
        <w:t xml:space="preserve">S3] (#xd1858bb2ec86b964cb6a768cb7d9a7a780abb7b)</w:t>
      </w:r>
    </w:p>
    <w:p>
      <w:pPr>
        <w:pStyle w:val="Compact"/>
        <w:numPr>
          <w:ilvl w:val="0"/>
          <w:numId w:val="1001"/>
        </w:numPr>
      </w:pPr>
      <w:r>
        <w:t xml:space="preserve">[8.5.Präzision in Bezug auf das Engagement von</w:t>
      </w:r>
      <w:r>
        <w:t xml:space="preserve"> </w:t>
      </w:r>
      <w:r>
        <w:t xml:space="preserve">Backup] (#xcc0ee164bf81418fd2280Ceac4eb569bf7b97f7)</w:t>
      </w:r>
    </w:p>
    <w:p>
      <w:pPr>
        <w:pStyle w:val="Compact"/>
        <w:numPr>
          <w:ilvl w:val="0"/>
          <w:numId w:val="1001"/>
        </w:numPr>
      </w:pPr>
      <w:r>
        <w:t xml:space="preserve">[9.Organisation der Beziehung</w:t>
      </w:r>
      <w:r>
        <w:t xml:space="preserve"> </w:t>
      </w:r>
      <w:r>
        <w:t xml:space="preserve">Contractual] (#XF5428518D06EEE6569B2C74EA4A26421AB0998E2)</w:t>
      </w:r>
    </w:p>
    <w:p>
      <w:pPr>
        <w:pStyle w:val="Compact"/>
        <w:numPr>
          <w:ilvl w:val="0"/>
          <w:numId w:val="1001"/>
        </w:numPr>
      </w:pPr>
      <w:r>
        <w:t xml:space="preserve">[9.1.Verantwortlichkeiten von</w:t>
      </w:r>
      <w:r>
        <w:t xml:space="preserve"> </w:t>
      </w:r>
      <w:r>
        <w:t xml:space="preserve">Anbieter] (#x29068434A285C3F52C7DDC1EF50404D65E76FB5)</w:t>
      </w:r>
    </w:p>
    <w:p>
      <w:pPr>
        <w:pStyle w:val="Compact"/>
        <w:numPr>
          <w:ilvl w:val="0"/>
          <w:numId w:val="1001"/>
        </w:numPr>
      </w:pPr>
      <w:r>
        <w:t xml:space="preserve">[9.2.Verantwortlichkeitenbeschränkung von</w:t>
      </w:r>
      <w:r>
        <w:t xml:space="preserve"> </w:t>
      </w:r>
      <w:r>
        <w:t xml:space="preserve">Anbieter] (#x19121B2BD4FB4E4F45228E8BAB910B62DC757C1)</w:t>
      </w:r>
    </w:p>
    <w:p>
      <w:pPr>
        <w:pStyle w:val="Compact"/>
        <w:numPr>
          <w:ilvl w:val="0"/>
          <w:numId w:val="1001"/>
        </w:numPr>
      </w:pPr>
      <w:hyperlink w:anchor="zugangsbeschränkung">
        <w:r>
          <w:rPr>
            <w:rStyle w:val="Hyperlink"/>
          </w:rPr>
          <w:t xml:space="preserve">9.3.Zugangsbeschränkung</w:t>
        </w:r>
      </w:hyperlink>
      <w:r>
        <w:t xml:space="preserve"> </w:t>
      </w:r>
      <w:r>
        <w:t xml:space="preserve">(#x4E70434457F7C115F116A9F6EA4AB4AF9B8D941)</w:t>
      </w:r>
    </w:p>
    <w:p>
      <w:pPr>
        <w:pStyle w:val="Compact"/>
        <w:numPr>
          <w:ilvl w:val="0"/>
          <w:numId w:val="1001"/>
        </w:numPr>
      </w:pPr>
      <w:r>
        <w:t xml:space="preserve">[9.4.Verantwortlichkeiten von Dritten, die an der Versorgung von beteiligt sind</w:t>
      </w:r>
      <w:r>
        <w:t xml:space="preserve"> </w:t>
      </w:r>
      <w:r>
        <w:t xml:space="preserve">Service Secure Temple] (#XC662A81CADD2BAA300CA83A27240DEC61621A56)</w:t>
      </w:r>
    </w:p>
    <w:p>
      <w:pPr>
        <w:pStyle w:val="Compact"/>
        <w:numPr>
          <w:ilvl w:val="0"/>
          <w:numId w:val="1001"/>
        </w:numPr>
      </w:pPr>
      <w:r>
        <w:t xml:space="preserve">[9.5.Verantwortlichkeiten und Verpflichtungen von</w:t>
      </w:r>
      <w:r>
        <w:t xml:space="preserve"> </w:t>
      </w:r>
      <w:r>
        <w:t xml:space="preserve">Kommandant</w:t>
      </w:r>
    </w:p>
    <w:p>
      <w:pPr>
        <w:pStyle w:val="Compact"/>
        <w:numPr>
          <w:ilvl w:val="0"/>
          <w:numId w:val="1001"/>
        </w:numPr>
      </w:pPr>
      <w:r>
        <w:t xml:space="preserve">[9.6.Rechte von</w:t>
      </w:r>
      <w:r>
        <w:t xml:space="preserve"> </w:t>
      </w:r>
      <w:r>
        <w:t xml:space="preserve">Kommandant</w:t>
      </w:r>
    </w:p>
    <w:p>
      <w:pPr>
        <w:pStyle w:val="Compact"/>
        <w:numPr>
          <w:ilvl w:val="0"/>
          <w:numId w:val="1001"/>
        </w:numPr>
      </w:pPr>
      <w:r>
        <w:t xml:space="preserve">[9.7.Datenlöschung am Ende von</w:t>
      </w:r>
      <w:r>
        <w:t xml:space="preserve"> </w:t>
      </w:r>
      <w:r>
        <w:t xml:space="preserve">Vertrag] (#x18AF7E8DB06FE2D84076A4E5A797E8B384BC11)</w:t>
      </w:r>
    </w:p>
    <w:p>
      <w:pPr>
        <w:pStyle w:val="Compact"/>
        <w:numPr>
          <w:ilvl w:val="0"/>
          <w:numId w:val="1001"/>
        </w:numPr>
      </w:pPr>
      <w:r>
        <w:t xml:space="preserve">[10.Lebenszyklus dieser Vereinbarung</w:t>
      </w:r>
      <w:r>
        <w:t xml:space="preserve"> </w:t>
      </w:r>
      <w:r>
        <w:t xml:space="preserve">Service] (#x897444c1f67247955b75e73d73aaa55899645415)</w:t>
      </w:r>
    </w:p>
    <w:p>
      <w:pPr>
        <w:pStyle w:val="Compact"/>
        <w:numPr>
          <w:ilvl w:val="0"/>
          <w:numId w:val="1001"/>
        </w:numPr>
      </w:pPr>
      <w:r>
        <w:t xml:space="preserve">[10.1.Eintritt der</w:t>
      </w:r>
      <w:r>
        <w:t xml:space="preserve"> </w:t>
      </w:r>
      <w:r>
        <w:t xml:space="preserve">Service] (#XA3B4F57D1F6067D72EBA0C13DC12B4E2E5A4CF1)</w:t>
      </w:r>
    </w:p>
    <w:p>
      <w:pPr>
        <w:pStyle w:val="Compact"/>
        <w:numPr>
          <w:ilvl w:val="0"/>
          <w:numId w:val="1001"/>
        </w:numPr>
      </w:pPr>
      <w:r>
        <w:t xml:space="preserve">[10.2.Entwicklungen in der</w:t>
      </w:r>
      <w:r>
        <w:t xml:space="preserve"> </w:t>
      </w:r>
      <w:r>
        <w:t xml:space="preserve">Service] (#XB5B2D189DECE37BE8660FBD35B3E0D097BB2969)</w:t>
      </w:r>
    </w:p>
    <w:p>
      <w:pPr>
        <w:pStyle w:val="Compact"/>
        <w:numPr>
          <w:ilvl w:val="0"/>
          <w:numId w:val="1001"/>
        </w:numPr>
      </w:pPr>
      <w:r>
        <w:t xml:space="preserve">[10.2.1.Entwicklungen, die durch die ausgelöst werden</w:t>
      </w:r>
      <w:r>
        <w:t xml:space="preserve"> </w:t>
      </w:r>
      <w:r>
        <w:t xml:space="preserve">Commander] (#x946A541A54AB2F0CA92CA2E5AB41B3740F564)</w:t>
      </w:r>
    </w:p>
    <w:p>
      <w:pPr>
        <w:pStyle w:val="Compact"/>
        <w:numPr>
          <w:ilvl w:val="0"/>
          <w:numId w:val="1001"/>
        </w:numPr>
      </w:pPr>
      <w:r>
        <w:t xml:space="preserve">[10.2.2.Entwicklungen, die durch die ausgelöst werden</w:t>
      </w:r>
      <w:r>
        <w:t xml:space="preserve"> </w:t>
      </w:r>
      <w:r>
        <w:t xml:space="preserve">Anbieter] (#xe94b2234fc6249c7021ff8c044fdaa857f6a9af)</w:t>
      </w:r>
    </w:p>
    <w:p>
      <w:pPr>
        <w:pStyle w:val="Compact"/>
        <w:numPr>
          <w:ilvl w:val="0"/>
          <w:numId w:val="1001"/>
        </w:numPr>
      </w:pPr>
      <w:hyperlink w:anchor="reversibilität">
        <w:r>
          <w:rPr>
            <w:rStyle w:val="Hyperlink"/>
          </w:rPr>
          <w:t xml:space="preserve">10.3.Reversibilität</w:t>
        </w:r>
      </w:hyperlink>
      <w:r>
        <w:t xml:space="preserve"> </w:t>
      </w:r>
      <w:r>
        <w:t xml:space="preserve">(#x483EBA08298E38537F9F27B026E82E1ECE7CE7E)</w:t>
      </w:r>
    </w:p>
    <w:p>
      <w:pPr>
        <w:pStyle w:val="Compact"/>
        <w:numPr>
          <w:ilvl w:val="0"/>
          <w:numId w:val="1001"/>
        </w:numPr>
      </w:pPr>
      <w:r>
        <w:t xml:space="preserve">[11.Verfügbarkeit, Kontinuität und Wiederherstellung von</w:t>
      </w:r>
      <w:r>
        <w:t xml:space="preserve"> </w:t>
      </w:r>
      <w:r>
        <w:t xml:space="preserve">Service] (#x115FCC8F59C1201DAE17A3D86136D153BE01044)</w:t>
      </w:r>
    </w:p>
    <w:p>
      <w:pPr>
        <w:pStyle w:val="Compact"/>
        <w:numPr>
          <w:ilvl w:val="0"/>
          <w:numId w:val="1001"/>
        </w:numPr>
      </w:pPr>
      <w:hyperlink w:anchor="X7eb69c5d0956521f7e87635565dc9d5a4a55bc7">
        <w:r>
          <w:rPr>
            <w:rStyle w:val="Hyperlink"/>
          </w:rPr>
          <w:t xml:space="preserve">11.1.Verwaltung von Vorfällen 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Unterbrechungen</w:t>
        </w:r>
      </w:hyperlink>
      <w:r>
        <w:t xml:space="preserve"> </w:t>
      </w:r>
      <w:r>
        <w:t xml:space="preserve">(#x55FC305E53901383E26FDA6B4957FBEEFA9CA)</w:t>
      </w:r>
    </w:p>
    <w:p>
      <w:pPr>
        <w:pStyle w:val="Compact"/>
        <w:numPr>
          <w:ilvl w:val="0"/>
          <w:numId w:val="1001"/>
        </w:numPr>
      </w:pPr>
      <w:hyperlink w:anchor="vorfälle">
        <w:r>
          <w:rPr>
            <w:rStyle w:val="Hyperlink"/>
          </w:rPr>
          <w:t xml:space="preserve">11.1.1.Vorfälle</w:t>
        </w:r>
      </w:hyperlink>
      <w:r>
        <w:t xml:space="preserve"> </w:t>
      </w:r>
      <w:r>
        <w:t xml:space="preserve">(#x648046C564AC1CD52Bebb02B256B193A3DA4D74)</w:t>
      </w:r>
    </w:p>
    <w:p>
      <w:pPr>
        <w:pStyle w:val="Compact"/>
        <w:numPr>
          <w:ilvl w:val="0"/>
          <w:numId w:val="1001"/>
        </w:numPr>
      </w:pPr>
      <w:r>
        <w:t xml:space="preserve">[11.1.1.1.Arten von Vorfällen, die als Teil davon behandelt werden</w:t>
      </w:r>
      <w:r>
        <w:t xml:space="preserve"> </w:t>
      </w:r>
      <w:r>
        <w:t xml:space="preserve">Konvention von</w:t>
      </w:r>
      <w:r>
        <w:t xml:space="preserve"> </w:t>
      </w:r>
      <w:r>
        <w:t xml:space="preserve">Service] (#x09CC1E222DB275B1A463F85596829F3F871AE224)</w:t>
      </w:r>
    </w:p>
    <w:p>
      <w:pPr>
        <w:pStyle w:val="Compact"/>
        <w:numPr>
          <w:ilvl w:val="0"/>
          <w:numId w:val="1001"/>
        </w:numPr>
      </w:pPr>
      <w:r>
        <w:t xml:space="preserve">[11.1.1.2.Behandlung von</w:t>
      </w:r>
      <w:r>
        <w:t xml:space="preserve"> </w:t>
      </w:r>
      <w:r>
        <w:t xml:space="preserve">Vorfälle] (#x726D7A25D789F16DB26761D7DF0C2C91F7BC3A)</w:t>
      </w:r>
    </w:p>
    <w:p>
      <w:pPr>
        <w:pStyle w:val="Compact"/>
        <w:numPr>
          <w:ilvl w:val="0"/>
          <w:numId w:val="1001"/>
        </w:numPr>
      </w:pPr>
      <w:r>
        <w:t xml:space="preserve">[11.1.1.3.Benachrichtigungsniveau von Vorfällen von</w:t>
      </w:r>
      <w:r>
        <w:t xml:space="preserve"> </w:t>
      </w:r>
      <w:r>
        <w:t xml:space="preserve">Sicherheit] (#x61CEB4B8F57902C74FBF77BB211197E5A82412)</w:t>
      </w:r>
    </w:p>
    <w:p>
      <w:pPr>
        <w:pStyle w:val="Compact"/>
        <w:numPr>
          <w:ilvl w:val="0"/>
          <w:numId w:val="1001"/>
        </w:numPr>
      </w:pPr>
      <w:r>
        <w:t xml:space="preserve">[11.2.Wartung von</w:t>
      </w:r>
      <w:r>
        <w:t xml:space="preserve"> </w:t>
      </w:r>
      <w:r>
        <w:t xml:space="preserve">Service] (#x8F50B0B400C67568E380DB602AC786EC585905)</w:t>
      </w:r>
    </w:p>
    <w:p>
      <w:pPr>
        <w:pStyle w:val="Compact"/>
        <w:numPr>
          <w:ilvl w:val="0"/>
          <w:numId w:val="1001"/>
        </w:numPr>
      </w:pPr>
      <w:r>
        <w:t xml:space="preserve">[11.2.1.Natur der</w:t>
      </w:r>
      <w:r>
        <w:t xml:space="preserve"> </w:t>
      </w:r>
      <w:r>
        <w:t xml:space="preserve">Wartung] (#x903D92EDF16182242ECFD404337EDBAF2243B81)</w:t>
      </w:r>
    </w:p>
    <w:p>
      <w:pPr>
        <w:pStyle w:val="Compact"/>
        <w:numPr>
          <w:ilvl w:val="0"/>
          <w:numId w:val="1001"/>
        </w:numPr>
      </w:pPr>
      <w:r>
        <w:t xml:space="preserve">[11.2.2.Entfernter Zugang des Wolkentempels am Umfang von</w:t>
      </w:r>
      <w:r>
        <w:t xml:space="preserve"> </w:t>
      </w:r>
      <w:r>
        <w:t xml:space="preserve">Commander] (#x89ffba42dc424905d6209f36393e0e942b9ed6)</w:t>
      </w:r>
    </w:p>
    <w:p>
      <w:pPr>
        <w:pStyle w:val="Compact"/>
        <w:numPr>
          <w:ilvl w:val="0"/>
          <w:numId w:val="1001"/>
        </w:numPr>
      </w:pPr>
      <w:r>
        <w:t xml:space="preserve">[11.2.3.Accessantes dritter -Party -Zugriff, der an der Versorgung beteiligt ist</w:t>
      </w:r>
      <w:r>
        <w:t xml:space="preserve"> </w:t>
      </w:r>
      <w:r>
        <w:t xml:space="preserve">Dienst am Umfang von</w:t>
      </w:r>
      <w:r>
        <w:t xml:space="preserve"> </w:t>
      </w:r>
      <w:r>
        <w:t xml:space="preserve">Commander] (#x7AD951099cc984b8fc11322e52c4e27d11465f)</w:t>
      </w:r>
    </w:p>
    <w:p>
      <w:pPr>
        <w:pStyle w:val="Compact"/>
        <w:numPr>
          <w:ilvl w:val="0"/>
          <w:numId w:val="1001"/>
        </w:numPr>
      </w:pPr>
      <w:r>
        <w:t xml:space="preserve">[12.Datenlöschen des Datenverfahrens am Ende von</w:t>
      </w:r>
      <w:r>
        <w:t xml:space="preserve"> </w:t>
      </w:r>
      <w:r>
        <w:t xml:space="preserve">Vertrag] (#x4EF75D44456496B7EB26B3D2DD8783CF17BD26C2)</w:t>
      </w:r>
    </w:p>
    <w:p>
      <w:pPr>
        <w:pStyle w:val="Compact"/>
        <w:numPr>
          <w:ilvl w:val="0"/>
          <w:numId w:val="1001"/>
        </w:numPr>
      </w:pPr>
      <w:r>
        <w:t xml:space="preserve">[13.Anwendbares Gesetz] (#XDC569BBBBB194E0E4A197CF31537DB4BF08BF3ECA)</w:t>
      </w:r>
    </w:p>
    <w:p>
      <w:pPr>
        <w:pStyle w:val="Compact"/>
        <w:numPr>
          <w:ilvl w:val="0"/>
          <w:numId w:val="1001"/>
        </w:numPr>
      </w:pPr>
      <w:r>
        <w:t xml:space="preserve">[13.1.In gewisser Weise</w:t>
      </w:r>
      <w:r>
        <w:t xml:space="preserve"> </w:t>
      </w:r>
      <w:r>
        <w:t xml:space="preserve">General] (#x5ed94d170893fb4c04d7110c419f01198fda773)</w:t>
      </w:r>
    </w:p>
    <w:p>
      <w:pPr>
        <w:pStyle w:val="Compact"/>
        <w:numPr>
          <w:ilvl w:val="0"/>
          <w:numId w:val="1001"/>
        </w:numPr>
      </w:pPr>
      <w:r>
        <w:t xml:space="preserve">[13.2.Einhaltung von Recht und Vorschriften</w:t>
      </w:r>
      <w:r>
        <w:t xml:space="preserve"> </w:t>
      </w:r>
      <w:r>
        <w:t xml:space="preserve">Anwendbar] (#xce704548fdd653ba3dbdfe64Fefff60A0972C3f)</w:t>
      </w:r>
    </w:p>
    <w:p>
      <w:pPr>
        <w:pStyle w:val="Compact"/>
        <w:numPr>
          <w:ilvl w:val="0"/>
          <w:numId w:val="1001"/>
        </w:numPr>
      </w:pPr>
      <w:r>
        <w:t xml:space="preserve">[13.3.RGPD] (#xfc35add53571984b04e4fc9d49dcfff4b7b3395)</w:t>
      </w:r>
    </w:p>
    <w:p>
      <w:pPr>
        <w:pStyle w:val="Compact"/>
        <w:numPr>
          <w:ilvl w:val="0"/>
          <w:numId w:val="1001"/>
        </w:numPr>
      </w:pPr>
      <w:r>
        <w:t xml:space="preserve">[13.4.Schutz in Bezug auf das Gesetz</w:t>
      </w:r>
      <w:r>
        <w:t xml:space="preserve"> </w:t>
      </w:r>
      <w:r>
        <w:t xml:space="preserve">Extra-europäisch] (#x5171f5ee735df20bc2100671620eddd76dca12d)</w:t>
      </w:r>
    </w:p>
    <w:p>
      <w:pPr>
        <w:pStyle w:val="Compact"/>
        <w:numPr>
          <w:ilvl w:val="0"/>
          <w:numId w:val="1001"/>
        </w:numPr>
      </w:pPr>
      <w:r>
        <w:t xml:space="preserve">[14.Signaturen] (#x7AD993788A708B47017C27C9D96178E8795E44F)</w:t>
      </w:r>
    </w:p>
    <w:bookmarkEnd w:id="21"/>
    <w:bookmarkStart w:id="26" w:name="vorläufiger-und-glossar"/>
    <w:p>
      <w:pPr>
        <w:pStyle w:val="Heading1"/>
      </w:pPr>
      <w:r>
        <w:t xml:space="preserve">3. Vorläufiger und Glossar</w:t>
      </w:r>
    </w:p>
    <w:bookmarkStart w:id="22" w:name="vorläufig"/>
    <w:p>
      <w:pPr>
        <w:pStyle w:val="Heading2"/>
      </w:pPr>
      <w:r>
        <w:t xml:space="preserve">3.1.Vorläufig</w:t>
      </w:r>
    </w:p>
    <w:p>
      <w:pPr>
        <w:pStyle w:val="FirstParagraph"/>
      </w:pPr>
      <w:r>
        <w:t xml:space="preserve">Dieses Dokument formalisiert das Servicenvertrag, das mit dem verbunden ist</w:t>
      </w:r>
      <w:r>
        <w:t xml:space="preserve"> </w:t>
      </w:r>
      <w:r>
        <w:t xml:space="preserve">IaaS Service qualifiziert Secnumcloud unter dem Namen</w:t>
      </w:r>
      <w:r>
        <w:t xml:space="preserve"> </w:t>
      </w:r>
      <w:r>
        <w:t xml:space="preserve">“</w:t>
      </w:r>
      <w:r>
        <w:rPr>
          <w:i/>
          <w:iCs/>
        </w:rPr>
        <w:t xml:space="preserve">sicher</w:t>
      </w:r>
      <w:r>
        <w:rPr>
          <w:i/>
          <w:iCs/>
        </w:rPr>
        <w:t xml:space="preserve"> </w:t>
      </w:r>
      <w:r>
        <w:rPr>
          <w:i/>
          <w:iCs/>
        </w:rPr>
        <w:t xml:space="preserve">Tempel</w:t>
      </w:r>
      <w:r>
        <w:rPr>
          <w:i/>
          <w:iCs/>
        </w:rPr>
        <w:t xml:space="preserve"> 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Der Dienst ist qualifiziert Secnumcloud (siehe Zertifikat in Anhang).</w:t>
      </w:r>
    </w:p>
    <w:p>
      <w:pPr>
        <w:pStyle w:val="BodyText"/>
      </w:pPr>
      <w:r>
        <w:t xml:space="preserve">Diese vollständige Servicevereinbarung und ergänzt sich zu</w:t>
      </w:r>
      <w:r>
        <w:t xml:space="preserve"> </w:t>
      </w:r>
      <w:r>
        <w:t xml:space="preserve">Allgemeine Verkaufsbedingungen und Nutzung des Dienstleisters.Er ist</w:t>
      </w:r>
      <w:r>
        <w:t xml:space="preserve"> </w:t>
      </w:r>
      <w:r>
        <w:t xml:space="preserve">verstanden, dass die vertraglichen Dokumente in a interpretiert werden</w:t>
      </w:r>
      <w:r>
        <w:t xml:space="preserve"> </w:t>
      </w:r>
      <w:r>
        <w:t xml:space="preserve">in Übereinstimmung miteinander.Im Falle eines Widerspruchs oder der Abweichung zwischen</w:t>
      </w:r>
      <w:r>
        <w:t xml:space="preserve"> </w:t>
      </w:r>
      <w:r>
        <w:t xml:space="preserve">Bestimmungen der vertraglichen Dokumente, die Dokumente werden sich vorstellen</w:t>
      </w:r>
      <w:r>
        <w:t xml:space="preserve"> </w:t>
      </w:r>
      <w:r>
        <w:t xml:space="preserve">die anderen in der folgenden Reihenfolge:</w:t>
      </w:r>
    </w:p>
    <w:p>
      <w:pPr>
        <w:numPr>
          <w:ilvl w:val="0"/>
          <w:numId w:val="1002"/>
        </w:numPr>
      </w:pPr>
      <w:r>
        <w:t xml:space="preserve">Verkaufs- und Nutzungsbedingungen (CGVU)</w:t>
      </w:r>
    </w:p>
    <w:p>
      <w:pPr>
        <w:numPr>
          <w:ilvl w:val="0"/>
          <w:numId w:val="1002"/>
        </w:numPr>
      </w:pPr>
      <w:r>
        <w:t xml:space="preserve">Servicevertrag Secnumcloud Openiaas</w:t>
      </w:r>
    </w:p>
    <w:p>
      <w:pPr>
        <w:numPr>
          <w:ilvl w:val="0"/>
          <w:numId w:val="1002"/>
        </w:numPr>
      </w:pPr>
      <w:r>
        <w:t xml:space="preserve">Secnumcloud PAAS -Servicevertrag</w:t>
      </w:r>
    </w:p>
    <w:p>
      <w:pPr>
        <w:numPr>
          <w:ilvl w:val="0"/>
          <w:numId w:val="1002"/>
        </w:numPr>
      </w:pPr>
      <w:r>
        <w:t xml:space="preserve">Spezifische Servicevereinbarung - Bare Metall</w:t>
      </w:r>
    </w:p>
    <w:p>
      <w:pPr>
        <w:numPr>
          <w:ilvl w:val="0"/>
          <w:numId w:val="1002"/>
        </w:numPr>
      </w:pPr>
      <w:r>
        <w:t xml:space="preserve">Spezifische spezifische Übereinstimmung</w:t>
      </w:r>
    </w:p>
    <w:p>
      <w:pPr>
        <w:numPr>
          <w:ilvl w:val="0"/>
          <w:numId w:val="1002"/>
        </w:numPr>
      </w:pPr>
      <w:r>
        <w:t xml:space="preserve">Sicherheitsversicherungsplan (nicht)</w:t>
      </w:r>
    </w:p>
    <w:p>
      <w:pPr>
        <w:numPr>
          <w:ilvl w:val="0"/>
          <w:numId w:val="1002"/>
        </w:numPr>
      </w:pPr>
      <w:r>
        <w:t xml:space="preserve">Spezielle Nutzungsbedingungen (CPU)</w:t>
      </w:r>
    </w:p>
    <w:p>
      <w:pPr>
        <w:numPr>
          <w:ilvl w:val="0"/>
          <w:numId w:val="1002"/>
        </w:numPr>
      </w:pPr>
      <w:r>
        <w:t xml:space="preserve">Datenschutz Agrement</w:t>
      </w:r>
    </w:p>
    <w:bookmarkEnd w:id="22"/>
    <w:bookmarkStart w:id="23" w:name="glossar"/>
    <w:p>
      <w:pPr>
        <w:pStyle w:val="Heading2"/>
      </w:pPr>
      <w:r>
        <w:t xml:space="preserve">3.2.Glossar</w:t>
      </w:r>
    </w:p>
    <w:p>
      <w:pPr>
        <w:pStyle w:val="FirstParagraph"/>
      </w:pPr>
      <w:r>
        <w:t xml:space="preserve">In dieser Servicevereinbarung ist der ** Sponsor</w:t>
      </w:r>
      <w:r>
        <w:t xml:space="preserve"> </w:t>
      </w:r>
      <w:r>
        <w:rPr>
          <w:b/>
          <w:bCs/>
        </w:rPr>
        <w:t xml:space="preserve">, der</w:t>
      </w:r>
      <w:r>
        <w:rPr>
          <w:b/>
          <w:bCs/>
        </w:rPr>
        <w:t xml:space="preserve"> </w:t>
      </w:r>
      <w:r>
        <w:t xml:space="preserve"> </w:t>
      </w:r>
      <w:r>
        <w:t xml:space="preserve">Anbieter ** und die ** Parteien ** werden im Vertrag identifiziert</w:t>
      </w:r>
      <w:r>
        <w:t xml:space="preserve"> </w:t>
      </w:r>
      <w:r>
        <w:t xml:space="preserve">zu dem diese Servicevereinbarung annektiert wird.</w:t>
      </w:r>
    </w:p>
    <w:p>
      <w:pPr>
        <w:pStyle w:val="BodyText"/>
      </w:pPr>
      <w:r>
        <w:t xml:space="preserve">Die folgenden Ausdrücke, die darin verwendet werden</w:t>
      </w:r>
      <w:r>
        <w:t xml:space="preserve"> </w:t>
      </w:r>
      <w:r>
        <w:t xml:space="preserve">Der Service wird gemäß den Definitionen ausgelegt, die sind</w:t>
      </w:r>
      <w:r>
        <w:t xml:space="preserve"> </w:t>
      </w:r>
      <w:r>
        <w:t xml:space="preserve">unten zugewiesen:</w:t>
      </w:r>
    </w:p>
    <w:p>
      <w:pPr>
        <w:numPr>
          <w:ilvl w:val="0"/>
          <w:numId w:val="1003"/>
        </w:numPr>
      </w:pPr>
      <w:r>
        <w:t xml:space="preserve">** Änderung: ** Jede Ergänzung, eine wirkungsvolle Änderung oder Löschung</w:t>
      </w:r>
      <w:r>
        <w:t xml:space="preserve"> </w:t>
      </w:r>
      <w:r>
        <w:t xml:space="preserve">Der Dienst wurde autorisiert, geplant oder kümmert sich um.</w:t>
      </w:r>
    </w:p>
    <w:p>
      <w:pPr>
        <w:numPr>
          <w:ilvl w:val="0"/>
          <w:numId w:val="1003"/>
        </w:numPr>
      </w:pPr>
      <w:r>
        <w:t xml:space="preserve">** Standardänderung: ** Änderung unterliegt einer Prozedur,</w:t>
      </w:r>
      <w:r>
        <w:t xml:space="preserve"> </w:t>
      </w:r>
      <w:r>
        <w:t xml:space="preserve">einschließlich Produktionsmethoden und Auswirkungen (einschließlich</w:t>
      </w:r>
      <w:r>
        <w:t xml:space="preserve"> </w:t>
      </w:r>
      <w:r>
        <w:t xml:space="preserve">Finanziers) werden von den Parteien im Voraus bekannt und akzeptiert.Er ist</w:t>
      </w:r>
      <w:r>
        <w:t xml:space="preserve"> </w:t>
      </w:r>
      <w:r>
        <w:t xml:space="preserve">dann in den Katalog von Standardänderungen integriert und kann nach</w:t>
      </w:r>
      <w:r>
        <w:t xml:space="preserve"> </w:t>
      </w:r>
      <w:r>
        <w:t xml:space="preserve">Fälle haben einen GTI und eine GTR.</w:t>
      </w:r>
    </w:p>
    <w:p>
      <w:pPr>
        <w:numPr>
          <w:ilvl w:val="0"/>
          <w:numId w:val="1003"/>
        </w:numPr>
      </w:pPr>
      <w:r>
        <w:t xml:space="preserve">** Vertrag: ** Bezeichnet den vom Sponsor unterzeichneten Vertrag mit</w:t>
      </w:r>
      <w:r>
        <w:t xml:space="preserve"> </w:t>
      </w:r>
      <w:r>
        <w:t xml:space="preserve">des Dienstleisters, damit der Sponsor von der profitieren kann</w:t>
      </w:r>
      <w:r>
        <w:t xml:space="preserve"> </w:t>
      </w:r>
      <w:r>
        <w:t xml:space="preserve">Service, zu dem diese Servicevereinbarung annektiert wird.</w:t>
      </w:r>
    </w:p>
    <w:p>
      <w:pPr>
        <w:numPr>
          <w:ilvl w:val="0"/>
          <w:numId w:val="1003"/>
        </w:numPr>
      </w:pPr>
      <w:r>
        <w:t xml:space="preserve"> *** Servicevereinbarung: ** Dieses Dokument, das im Rahmen von a erstellt wurde</w:t>
      </w:r>
      <w:r>
        <w:t xml:space="preserve"> </w:t>
      </w:r>
      <w:r>
        <w:t xml:space="preserve">spezifische Vertrag oder allgemeine Verkaufsbedingungen und</w:t>
      </w:r>
      <w:r>
        <w:t xml:space="preserve"> </w:t>
      </w:r>
      <w:r>
        <w:t xml:space="preserve">von Nutzung (CGVU) gemäß den Anforderungen von</w:t>
      </w:r>
      <w:r>
        <w:t xml:space="preserve"> </w:t>
      </w:r>
      <w:r>
        <w:t xml:space="preserve">SecnumCloud Repository.</w:t>
      </w:r>
    </w:p>
    <w:p>
      <w:pPr>
        <w:numPr>
          <w:ilvl w:val="0"/>
          <w:numId w:val="1003"/>
        </w:numPr>
      </w:pPr>
      <w:r>
        <w:t xml:space="preserve">** Serviceanfrage: ** Devolutionsanfrage unterliegt a</w:t>
      </w:r>
      <w:r>
        <w:t xml:space="preserve"> </w:t>
      </w:r>
      <w:r>
        <w:t xml:space="preserve">Prozedur, deren Erkenntnis: i) die CMDB nicht ändern, ii) den Modus</w:t>
      </w:r>
      <w:r>
        <w:t xml:space="preserve"> </w:t>
      </w:r>
      <w:r>
        <w:t xml:space="preserve">Operativ, Kosten und Risiken sind bekannt und akzeptiert</w:t>
      </w:r>
      <w:r>
        <w:t xml:space="preserve"> </w:t>
      </w:r>
      <w:r>
        <w:t xml:space="preserve">Fortschreiten und keine Rückgaberückgangsmethoden benötigen</w:t>
      </w:r>
      <w:r>
        <w:t xml:space="preserve"> </w:t>
      </w:r>
      <w:r>
        <w:t xml:space="preserve">Spezifisch iii) Die Erkenntnis unterliegt einem Niveau von Niveau von</w:t>
      </w:r>
      <w:r>
        <w:t xml:space="preserve"> </w:t>
      </w:r>
      <w:r>
        <w:t xml:space="preserve">Service und in die Vertragsgebühr aufgenommen, wenn dies der Fall ist</w:t>
      </w:r>
      <w:r>
        <w:t xml:space="preserve"> </w:t>
      </w:r>
      <w:r>
        <w:t xml:space="preserve">In Arbeitszeiten und Arbeitstagen durchgeführt.</w:t>
      </w:r>
    </w:p>
    <w:p>
      <w:pPr>
        <w:numPr>
          <w:ilvl w:val="0"/>
          <w:numId w:val="1003"/>
        </w:numPr>
      </w:pPr>
      <w:r>
        <w:t xml:space="preserve">** Verfügbarkeit: ** Fähigkeit, Verfügbarkeit und Wartung sicherzustellen</w:t>
      </w:r>
      <w:r>
        <w:t xml:space="preserve"> </w:t>
      </w:r>
      <w:r>
        <w:t xml:space="preserve">optimale Serviceleistung gemäß den Kriterien und</w:t>
      </w:r>
      <w:r>
        <w:t xml:space="preserve"> </w:t>
      </w:r>
      <w:r>
        <w:t xml:space="preserve">Verpflichtungen, die in der Ebene der Servicevereinbarungen (SLA) definiert sind.</w:t>
      </w:r>
    </w:p>
    <w:p>
      <w:pPr>
        <w:numPr>
          <w:ilvl w:val="0"/>
          <w:numId w:val="1003"/>
        </w:numPr>
      </w:pPr>
      <w:r>
        <w:t xml:space="preserve">** Technische Daten **: Enthält alle manipulierten Daten</w:t>
      </w:r>
      <w:r>
        <w:t xml:space="preserve"> </w:t>
      </w:r>
      <w:r>
        <w:t xml:space="preserve">Den Service ausstellen, insbesondere deren Identität von</w:t>
      </w:r>
      <w:r>
        <w:t xml:space="preserve"> </w:t>
      </w:r>
      <w:r>
        <w:t xml:space="preserve">Begünstigte und Administratoren der technischen Infrastruktur,</w:t>
      </w:r>
      <w:r>
        <w:t xml:space="preserve"> </w:t>
      </w:r>
      <w:r>
        <w:t xml:space="preserve">Technische Infrastruktur -Zeitungen, Zugriffskonfiguration,</w:t>
      </w:r>
      <w:r>
        <w:t xml:space="preserve"> </w:t>
      </w:r>
      <w:r>
        <w:t xml:space="preserve">Verzeichnis, Zertifikate  …</w:t>
      </w:r>
    </w:p>
    <w:p>
      <w:pPr>
        <w:numPr>
          <w:ilvl w:val="0"/>
          <w:numId w:val="1003"/>
        </w:numPr>
      </w:pPr>
      <w:r>
        <w:t xml:space="preserve">** Ereignis: ** Ein  “Ereignis " ist alles nachweisbar vorhanden oder</w:t>
      </w:r>
      <w:r>
        <w:t xml:space="preserve"> </w:t>
      </w:r>
      <w:r>
        <w:t xml:space="preserve">identifizierbar, die für die Verwaltung des Dienstes wichtig sein können.</w:t>
      </w:r>
    </w:p>
    <w:p>
      <w:pPr>
        <w:numPr>
          <w:ilvl w:val="0"/>
          <w:numId w:val="1003"/>
        </w:numPr>
      </w:pPr>
      <w:r>
        <w:t xml:space="preserve">** Hypervisor: ** Betriebssystem, das die Ausführung von ermöglicht</w:t>
      </w:r>
      <w:r>
        <w:t xml:space="preserve"> </w:t>
      </w:r>
      <w:r>
        <w:t xml:space="preserve">Virtuelle Maschinen auf einer Berechnungsklinge.</w:t>
      </w:r>
    </w:p>
    <w:p>
      <w:pPr>
        <w:numPr>
          <w:ilvl w:val="0"/>
          <w:numId w:val="1003"/>
        </w:numPr>
      </w:pPr>
      <w:r>
        <w:t xml:space="preserve">** Vorfall: ** Jedes unvorhergesehene Ereignis, das den Betrieb stört</w:t>
      </w:r>
      <w:r>
        <w:t xml:space="preserve"> </w:t>
      </w:r>
      <w:r>
        <w:t xml:space="preserve">Normaler Dienst oder Kompromisse bei der Datensicherheit.</w:t>
      </w:r>
    </w:p>
    <w:p>
      <w:pPr>
        <w:numPr>
          <w:ilvl w:val="0"/>
          <w:numId w:val="1003"/>
        </w:numPr>
      </w:pPr>
      <w:r>
        <w:t xml:space="preserve">** Sicherheitsvorfall: ** Jedes Ereignis innerhalb des Umfangs der</w:t>
      </w:r>
      <w:r>
        <w:t xml:space="preserve"> </w:t>
      </w:r>
      <w:r>
        <w:t xml:space="preserve">Service:</w:t>
      </w:r>
    </w:p>
    <w:p>
      <w:pPr>
        <w:numPr>
          <w:ilvl w:val="0"/>
          <w:numId w:val="1003"/>
        </w:numPr>
      </w:pPr>
      <w:r>
        <w:t xml:space="preserve">Absichtlich bösartig in der Natur;</w:t>
      </w:r>
    </w:p>
    <w:p>
      <w:pPr>
        <w:numPr>
          <w:ilvl w:val="0"/>
          <w:numId w:val="1003"/>
        </w:numPr>
      </w:pPr>
      <w:r>
        <w:t xml:space="preserve">von versehentlicher Natur, die die Integrität beeinflusst, die</w:t>
      </w:r>
      <w:r>
        <w:t xml:space="preserve"> </w:t>
      </w:r>
      <w:r>
        <w:t xml:space="preserve">Vertraulichkeit oder Rückverfolgbarkeit des Dienstes oder Daten von</w:t>
      </w:r>
      <w:r>
        <w:t xml:space="preserve"> </w:t>
      </w:r>
      <w:r>
        <w:t xml:space="preserve">Sponsor;</w:t>
      </w:r>
    </w:p>
    <w:p>
      <w:pPr>
        <w:numPr>
          <w:ilvl w:val="0"/>
          <w:numId w:val="1003"/>
        </w:numPr>
      </w:pPr>
      <w:r>
        <w:t xml:space="preserve">In bestehende Sicherheitsmaßnahmen einbringen.Schaden an</w:t>
      </w:r>
      <w:r>
        <w:t xml:space="preserve"> </w:t>
      </w:r>
      <w:r>
        <w:t xml:space="preserve">Die Verfügbarkeit von Nicht-E-Mail-Herkunft wird nicht berücksichtigt</w:t>
      </w:r>
      <w:r>
        <w:t xml:space="preserve"> </w:t>
      </w:r>
      <w:r>
        <w:t xml:space="preserve">als Sicherheitsvorfall (Hardware, Fehler,</w:t>
      </w:r>
      <w:r>
        <w:t xml:space="preserve"> </w:t>
      </w:r>
      <w:r>
        <w:t xml:space="preserve">Dysfunktion, Naturkatastrophe …).</w:t>
      </w:r>
    </w:p>
    <w:p>
      <w:pPr>
        <w:numPr>
          <w:ilvl w:val="0"/>
          <w:numId w:val="1003"/>
        </w:numPr>
      </w:pPr>
      <w:r>
        <w:t xml:space="preserve">** Commander -Schnittstelle: ** Service Administration Interface</w:t>
      </w:r>
      <w:r>
        <w:t xml:space="preserve"> </w:t>
      </w:r>
      <w:r>
        <w:t xml:space="preserve">Bereitstellung des Sponsors durch den Dienstleister, der a zusammenbringt</w:t>
      </w:r>
      <w:r>
        <w:t xml:space="preserve"> </w:t>
      </w:r>
      <w:r>
        <w:t xml:space="preserve">Webadministrationskonsole und eine API.</w:t>
      </w:r>
    </w:p>
    <w:p>
      <w:pPr>
        <w:numPr>
          <w:ilvl w:val="0"/>
          <w:numId w:val="1003"/>
        </w:numPr>
      </w:pPr>
      <w:r>
        <w:t xml:space="preserve">** in Produktion eingesetzt: ** Aktionen der Verwaltung für die Verwirklichung von</w:t>
      </w:r>
      <w:r>
        <w:t xml:space="preserve"> </w:t>
      </w:r>
      <w:r>
        <w:t xml:space="preserve">Änderung, wenn es genehmigt wird (Veränderung, im Sinne von ITIL,</w:t>
      </w:r>
      <w:r>
        <w:t xml:space="preserve"> </w:t>
      </w:r>
      <w:r>
        <w:t xml:space="preserve">Nur das Änderungsmanagement und nicht das Veränderungsmanagement und nicht das seines</w:t>
      </w:r>
      <w:r>
        <w:t xml:space="preserve"> </w:t>
      </w:r>
      <w:r>
        <w:t xml:space="preserve">Realisierung/Konkretisierung).</w:t>
      </w:r>
    </w:p>
    <w:p>
      <w:pPr>
        <w:numPr>
          <w:ilvl w:val="0"/>
          <w:numId w:val="1003"/>
        </w:numPr>
      </w:pPr>
      <w:r>
        <w:t xml:space="preserve">** Problem **: Ursache für eine oder mehrere wiederkehrende Vorfälle, Ursache</w:t>
      </w:r>
      <w:r>
        <w:t xml:space="preserve"> </w:t>
      </w:r>
      <w:r>
        <w:t xml:space="preserve">Ein potenzieller Vorfall (Risikosituation), der eine Analyse erfordert</w:t>
      </w:r>
      <w:r>
        <w:t xml:space="preserve"> </w:t>
      </w:r>
      <w:r>
        <w:t xml:space="preserve">und eine Lösung, um das Wiederauftreten zu verhindern.</w:t>
      </w:r>
    </w:p>
    <w:p>
      <w:pPr>
        <w:numPr>
          <w:ilvl w:val="0"/>
          <w:numId w:val="1003"/>
        </w:numPr>
      </w:pPr>
      <w:r>
        <w:t xml:space="preserve">** Region: ** bezeichnet eine geografisch abgrenzte Reihe von Zonen von Zonen von</w:t>
      </w:r>
      <w:r>
        <w:t xml:space="preserve"> </w:t>
      </w:r>
      <w:r>
        <w:t xml:space="preserve">Cloud -Verfügbarkeit, Bereitstellung von Netzwerk, Berechnung und</w:t>
      </w:r>
      <w:r>
        <w:t xml:space="preserve"> </w:t>
      </w:r>
      <w:r>
        <w:t xml:space="preserve">Speicher zur Optimierung von Latenz, Leistung und Einhaltung</w:t>
      </w:r>
      <w:r>
        <w:t xml:space="preserve"> </w:t>
      </w:r>
      <w:r>
        <w:t xml:space="preserve">Lokale Regulierung.</w:t>
      </w:r>
    </w:p>
    <w:p>
      <w:pPr>
        <w:numPr>
          <w:ilvl w:val="0"/>
          <w:numId w:val="1003"/>
        </w:numPr>
      </w:pPr>
      <w:r>
        <w:t xml:space="preserve">** Service: ** Bezeichnet den qualifizierten Secnumcloud IaaS -Service</w:t>
      </w:r>
      <w:r>
        <w:t xml:space="preserve"> </w:t>
      </w:r>
      <w:r>
        <w:t xml:space="preserve">“sicher”</w:t>
      </w:r>
      <w:r>
        <w:t xml:space="preserve"> </w:t>
      </w:r>
      <w:r>
        <w:t xml:space="preserve">Temple ”, der vom Dienstleister an den Sponsor ausgestellt wurde</w:t>
      </w:r>
      <w:r>
        <w:t xml:space="preserve"> </w:t>
      </w:r>
      <w:r>
        <w:t xml:space="preserve">Die vom Dienstleister verwaltete technische Infrastruktur wie z.</w:t>
      </w:r>
      <w:r>
        <w:t xml:space="preserve"> </w:t>
      </w:r>
      <w:r>
        <w:t xml:space="preserve">beschrieben im Abschnitt</w:t>
      </w:r>
      <w:r>
        <w:t xml:space="preserve"> </w:t>
      </w:r>
      <w:r>
        <w:t xml:space="preserve">“Beschreibung des Dienstes”</w:t>
      </w:r>
      <w:r>
        <w:t xml:space="preserve"> </w:t>
      </w:r>
      <w:r>
        <w:t xml:space="preserve">davon</w:t>
      </w:r>
      <w:r>
        <w:t xml:space="preserve"> </w:t>
      </w:r>
      <w:r>
        <w:t xml:space="preserve">Servicevereinbarung.</w:t>
      </w:r>
    </w:p>
    <w:p>
      <w:pPr>
        <w:numPr>
          <w:ilvl w:val="0"/>
          <w:numId w:val="1003"/>
        </w:numPr>
      </w:pPr>
      <w:r>
        <w:t xml:space="preserve">** Secure Temple **: Bezeichnet den qualifizierten IaaS -Service Secnumcloud,</w:t>
      </w:r>
      <w:r>
        <w:t xml:space="preserve"> </w:t>
      </w:r>
      <w:r>
        <w:t xml:space="preserve">Vorgeschlagen vom Unternehmen Cloud Temple wie im Zertifikat definiert</w:t>
      </w:r>
      <w:r>
        <w:t xml:space="preserve"> </w:t>
      </w:r>
      <w:r>
        <w:t xml:space="preserve">Erhältlich auf der ANSSI -Website und im Anhang zur Verfügung gestellt</w:t>
      </w:r>
      <w:r>
        <w:t xml:space="preserve"> </w:t>
      </w:r>
      <w:r>
        <w:t xml:space="preserve">Servicevereinbarung.</w:t>
      </w:r>
    </w:p>
    <w:p>
      <w:pPr>
        <w:numPr>
          <w:ilvl w:val="0"/>
          <w:numId w:val="1003"/>
        </w:numPr>
      </w:pPr>
      <w:r>
        <w:t xml:space="preserve">** unheimlich: ** bezeichnet ein ernstes Ereignis natürlicher Herkunft oder</w:t>
      </w:r>
      <w:r>
        <w:t xml:space="preserve"> </w:t>
      </w:r>
      <w:r>
        <w:t xml:space="preserve">menschlich, versehentlich oder beabsichtigt, Verluste verursachen und</w:t>
      </w:r>
      <w:r>
        <w:t xml:space="preserve"> </w:t>
      </w:r>
      <w:r>
        <w:t xml:space="preserve">erheblicher Schaden am Opfer.</w:t>
      </w:r>
    </w:p>
    <w:p>
      <w:pPr>
        <w:numPr>
          <w:ilvl w:val="0"/>
          <w:numId w:val="1003"/>
        </w:numPr>
      </w:pPr>
      <w:r>
        <w:t xml:space="preserve">** Überwachung: ** Überwachung eines Informationssystems oder</w:t>
      </w:r>
      <w:r>
        <w:t xml:space="preserve"> </w:t>
      </w:r>
      <w:r>
        <w:t xml:space="preserve">Service, das die Erfassung verschiedener Daten wie Maßnahmen umfasst</w:t>
      </w:r>
      <w:r>
        <w:t xml:space="preserve"> </w:t>
      </w:r>
      <w:r>
        <w:t xml:space="preserve">und Alarme.Diese Aktivität beschränkt sich auf Beobachtung und Follow -up ohne</w:t>
      </w:r>
      <w:r>
        <w:t xml:space="preserve"> </w:t>
      </w:r>
      <w:r>
        <w:t xml:space="preserve">Eingreifen direkt in die überwachten Elemente, ein Vorrecht</w:t>
      </w:r>
      <w:r>
        <w:t xml:space="preserve"> </w:t>
      </w:r>
      <w:r>
        <w:t xml:space="preserve">das gehört zu Verwaltungsoperationen.</w:t>
      </w:r>
    </w:p>
    <w:p>
      <w:pPr>
        <w:numPr>
          <w:ilvl w:val="0"/>
          <w:numId w:val="1003"/>
        </w:numPr>
      </w:pPr>
      <w:r>
        <w:t xml:space="preserve">** Halten: ** Eine isolierte Instanz, die einem Benutzer oder einer Gruppe reserviert ist</w:t>
      </w:r>
      <w:r>
        <w:t xml:space="preserve"> </w:t>
      </w:r>
      <w:r>
        <w:t xml:space="preserve">Benutzer, während sie eine gemeinsame Infrastruktur teilen, während</w:t>
      </w:r>
      <w:r>
        <w:t xml:space="preserve"> </w:t>
      </w:r>
      <w:r>
        <w:t xml:space="preserve">jetzt Unabhängigkeit und Sicherheit von Daten und</w:t>
      </w:r>
      <w:r>
        <w:t xml:space="preserve"> </w:t>
      </w:r>
      <w:r>
        <w:t xml:space="preserve">Anwendungen.</w:t>
      </w:r>
    </w:p>
    <w:p>
      <w:pPr>
        <w:numPr>
          <w:ilvl w:val="0"/>
          <w:numId w:val="1003"/>
        </w:numPr>
      </w:pPr>
      <w:r>
        <w:t xml:space="preserve">** Verfügbarkeitszone (AZ) (Verfügbarkeitszone): ** Ein Abschnitt</w:t>
      </w:r>
      <w:r>
        <w:t xml:space="preserve"> </w:t>
      </w:r>
      <w:r>
        <w:t xml:space="preserve">spezifisch und isoliert aus der Cloud Computing Infrastructure, entworfen</w:t>
      </w:r>
      <w:r>
        <w:t xml:space="preserve"> </w:t>
      </w:r>
      <w:r>
        <w:t xml:space="preserve">Um die hohe Verfügbarkeit und Widerstandsfähigkeit von Dienstleistungen durch zu gewährleisten</w:t>
      </w:r>
      <w:r>
        <w:t xml:space="preserve"> </w:t>
      </w:r>
      <w:r>
        <w:t xml:space="preserve">eine geografische Verteilung der Ressourcen.</w:t>
      </w:r>
    </w:p>
    <w:bookmarkEnd w:id="23"/>
    <w:bookmarkStart w:id="24" w:name="akronyme"/>
    <w:p>
      <w:pPr>
        <w:pStyle w:val="Heading2"/>
      </w:pPr>
      <w:r>
        <w:t xml:space="preserve"># 4. Akronyme</w:t>
      </w:r>
    </w:p>
    <w:bookmarkEnd w:id="24"/>
    <w:bookmarkStart w:id="25" w:name="akronym-definition"/>
    <w:p>
      <w:pPr>
        <w:pStyle w:val="Heading2"/>
      </w:pPr>
      <w:r>
        <w:t xml:space="preserve">** Akronym ** ** Definition **</w:t>
      </w:r>
    </w:p>
    <w:p>
      <w:pPr>
        <w:pStyle w:val="FirstParagraph"/>
      </w:pPr>
      <w:r>
        <w:t xml:space="preserve">** CAB ** Änderung des Beirats - Beratungsausschuss an</w:t>
      </w:r>
      <w:r>
        <w:t xml:space="preserve"> </w:t>
      </w:r>
      <w:r>
        <w:t xml:space="preserve">Änderungen</w:t>
      </w:r>
    </w:p>
    <w:p>
      <w:pPr>
        <w:pStyle w:val="BodyText"/>
      </w:pPr>
      <w:r>
        <w:t xml:space="preserve">** CMDB ** Konfigurationsverwaltungsdatenbank - Datenbank von</w:t>
      </w:r>
      <w:r>
        <w:t xml:space="preserve"> </w:t>
      </w:r>
      <w:r>
        <w:t xml:space="preserve">Konfigurationsverwaltung</w:t>
      </w:r>
    </w:p>
    <w:p>
      <w:pPr>
        <w:pStyle w:val="BodyText"/>
      </w:pPr>
      <w:r>
        <w:t xml:space="preserve">** Copil ** Lenkungsausschuss</w:t>
      </w:r>
    </w:p>
    <w:p>
      <w:pPr>
        <w:pStyle w:val="BodyText"/>
      </w:pPr>
      <w:r>
        <w:t xml:space="preserve">** costrat ** Strategischer Ausschuss</w:t>
      </w:r>
      <w:r>
        <w:t xml:space="preserve"> </w:t>
      </w:r>
      <w:r>
        <w:t xml:space="preserve">** Coproj ** Projektkomitee</w:t>
      </w:r>
    </w:p>
    <w:p>
      <w:pPr>
        <w:pStyle w:val="BodyText"/>
      </w:pPr>
      <w:r>
        <w:t xml:space="preserve">** DB ** Datenbank (Datenbank)</w:t>
      </w:r>
    </w:p>
    <w:p>
      <w:pPr>
        <w:pStyle w:val="BodyText"/>
      </w:pPr>
      <w:r>
        <w:t xml:space="preserve">** DPA ** Datenschutzvereinbarung</w:t>
      </w:r>
    </w:p>
    <w:p>
      <w:pPr>
        <w:pStyle w:val="BodyText"/>
      </w:pPr>
      <w:r>
        <w:t xml:space="preserve">** DRP ** Disaster Recovery Plan (PRA) (Aktivitätswiederherstellungsplan)</w:t>
      </w:r>
    </w:p>
    <w:p>
      <w:pPr>
        <w:pStyle w:val="BodyText"/>
      </w:pPr>
      <w:r>
        <w:t xml:space="preserve">** gte ** Kletterzeit Garantie</w:t>
      </w:r>
    </w:p>
    <w:p>
      <w:pPr>
        <w:pStyle w:val="BodyText"/>
      </w:pPr>
      <w:r>
        <w:t xml:space="preserve">** GTI ** Interventionszeitgarantie</w:t>
      </w:r>
    </w:p>
    <w:p>
      <w:pPr>
        <w:pStyle w:val="BodyText"/>
      </w:pPr>
      <w:r>
        <w:t xml:space="preserve">** GTR ** Auflösungszeitgarantie</w:t>
      </w:r>
    </w:p>
    <w:p>
      <w:pPr>
        <w:pStyle w:val="BodyText"/>
      </w:pPr>
      <w:r>
        <w:t xml:space="preserve">** ITIL ** Informationstechnologie Infrastrukturbibliothek - gut</w:t>
      </w:r>
      <w:r>
        <w:t xml:space="preserve"> </w:t>
      </w:r>
      <w:r>
        <w:t xml:space="preserve">Praktiken für das Management</w:t>
      </w:r>
      <w:r>
        <w:t xml:space="preserve"> </w:t>
      </w:r>
      <w:r>
        <w:t xml:space="preserve">** IaaS ** Infrastruktur als Service</w:t>
      </w:r>
    </w:p>
    <w:p>
      <w:pPr>
        <w:pStyle w:val="BodyText"/>
      </w:pPr>
      <w:r>
        <w:t xml:space="preserve">** MCO ** in Betriebszustand unterhalten</w:t>
      </w:r>
    </w:p>
    <w:p>
      <w:pPr>
        <w:pStyle w:val="BodyText"/>
      </w:pPr>
      <w:r>
        <w:t xml:space="preserve">** MOA ** Projekt</w:t>
      </w:r>
    </w:p>
    <w:p>
      <w:pPr>
        <w:pStyle w:val="BodyText"/>
      </w:pPr>
      <w:r>
        <w:t xml:space="preserve">** MOE ** Projektkontrolle</w:t>
      </w:r>
    </w:p>
    <w:p>
      <w:pPr>
        <w:pStyle w:val="BodyText"/>
      </w:pPr>
      <w:r>
        <w:t xml:space="preserve">** MSP ** Managed Services Provider</w:t>
      </w:r>
    </w:p>
    <w:p>
      <w:pPr>
        <w:pStyle w:val="BodyText"/>
      </w:pPr>
      <w:r>
        <w:t xml:space="preserve">** OS ** Betriebssystem (Betriebssystem)</w:t>
      </w:r>
    </w:p>
    <w:p>
      <w:pPr>
        <w:pStyle w:val="BodyText"/>
      </w:pPr>
      <w:r>
        <w:t xml:space="preserve">** PAQ ** Qualitätsversicherungsplan</w:t>
      </w:r>
    </w:p>
    <w:p>
      <w:pPr>
        <w:pStyle w:val="BodyText"/>
      </w:pPr>
      <w:r>
        <w:t xml:space="preserve">** PaaS ** Plattform als Service</w:t>
      </w:r>
    </w:p>
    <w:p>
      <w:pPr>
        <w:pStyle w:val="BodyText"/>
      </w:pPr>
      <w:r>
        <w:t xml:space="preserve">** Nicht ** Sicherheitsversicherungsplan</w:t>
      </w:r>
    </w:p>
    <w:p>
      <w:pPr>
        <w:pStyle w:val="BodyText"/>
      </w:pPr>
      <w:r>
        <w:t xml:space="preserve">** Passi ** Informationssysteme Sicherheitsprüfungsanbieter</w:t>
      </w:r>
      <w:r>
        <w:t xml:space="preserve"> </w:t>
      </w:r>
      <w:r>
        <w:t xml:space="preserve">** RFC ** Änderungsanforderung - Änderungsanforderung</w:t>
      </w:r>
    </w:p>
    <w:p>
      <w:pPr>
        <w:pStyle w:val="BodyText"/>
      </w:pPr>
      <w:r>
        <w:t xml:space="preserve">** GDPR ** Allgemeine Datenschutzverordnung (persönlich)</w:t>
      </w:r>
    </w:p>
    <w:p>
      <w:pPr>
        <w:pStyle w:val="BodyText"/>
      </w:pPr>
      <w:r>
        <w:t xml:space="preserve">** RPO ** Erholungsobjektivpunkt - Frische der wiederhergestellten Daten</w:t>
      </w:r>
      <w:r>
        <w:t xml:space="preserve"> </w:t>
      </w:r>
      <w:r>
        <w:t xml:space="preserve">Im Falle eines Anspruchs</w:t>
      </w:r>
    </w:p>
    <w:p>
      <w:pPr>
        <w:pStyle w:val="BodyText"/>
      </w:pPr>
      <w:r>
        <w:t xml:space="preserve">** RTO ** Erholungszeitziel - Frist für die Wiedereinstellung des Dienstes</w:t>
      </w:r>
      <w:r>
        <w:t xml:space="preserve"> </w:t>
      </w:r>
      <w:r>
        <w:t xml:space="preserve">Im Falle eines Anspruchs</w:t>
      </w:r>
    </w:p>
    <w:p>
      <w:pPr>
        <w:pStyle w:val="BodyText"/>
      </w:pPr>
      <w:r>
        <w:t xml:space="preserve">** SDM ** Deliver Manager Service</w:t>
      </w:r>
    </w:p>
    <w:p>
      <w:pPr>
        <w:pStyle w:val="BodyText"/>
      </w:pPr>
      <w:r>
        <w:t xml:space="preserve">** SLA ** Service -Level -Vereinbarung - Service Level -Vereinbarung</w:t>
      </w:r>
      <w:r>
        <w:t xml:space="preserve"> </w:t>
      </w:r>
      <w:r>
        <w:rPr>
          <w:b/>
          <w:bCs/>
        </w:rPr>
        <w:t xml:space="preserve">SNC</w:t>
      </w:r>
      <w:r>
        <w:t xml:space="preserve"> </w:t>
      </w:r>
      <w:r>
        <w:t xml:space="preserve">SecNumCloud</w:t>
      </w:r>
    </w:p>
    <w:p>
      <w:pPr>
        <w:pStyle w:val="BodyText"/>
      </w:pPr>
      <w:r>
        <w:rPr>
          <w:b/>
          <w:bCs/>
        </w:rPr>
        <w:t xml:space="preserve">SOC</w:t>
      </w:r>
      <w:r>
        <w:t xml:space="preserve"> </w:t>
      </w:r>
      <w:r>
        <w:t xml:space="preserve">Security Operation Center</w:t>
      </w:r>
    </w:p>
    <w:p>
      <w:pPr>
        <w:pStyle w:val="BodyText"/>
      </w:pPr>
      <w:r>
        <w:rPr>
          <w:b/>
          <w:bCs/>
        </w:rPr>
        <w:t xml:space="preserve">TMA</w:t>
      </w:r>
      <w:r>
        <w:t xml:space="preserve"> </w:t>
      </w:r>
      <w:r>
        <w:t xml:space="preserve">Tierce Maintenance dApplication</w:t>
      </w:r>
    </w:p>
    <w:p>
      <w:pPr>
        <w:pStyle w:val="BodyText"/>
      </w:pPr>
      <w:r>
        <w:rPr>
          <w:b/>
          <w:bCs/>
        </w:rPr>
        <w:t xml:space="preserve">UO</w:t>
      </w:r>
      <w:r>
        <w:t xml:space="preserve"> </w:t>
      </w:r>
      <w:r>
        <w:t xml:space="preserve">Unité d’Œuvre</w:t>
      </w:r>
    </w:p>
    <w:p>
      <w:pPr>
        <w:pStyle w:val="BodyText"/>
      </w:pPr>
      <w:r>
        <w:rPr>
          <w:b/>
          <w:bCs/>
        </w:rPr>
        <w:t xml:space="preserve">VABE</w:t>
      </w:r>
      <w:r>
        <w:t xml:space="preserve"> </w:t>
      </w:r>
      <w:r>
        <w:t xml:space="preserve">Validation d’Aptitude à la Bonne Exploitabilité</w:t>
      </w:r>
    </w:p>
    <w:p>
      <w:pPr>
        <w:pStyle w:val="BodyText"/>
      </w:pPr>
      <w:r>
        <w:rPr>
          <w:b/>
          <w:bCs/>
        </w:rPr>
        <w:t xml:space="preserve">VABF</w:t>
      </w:r>
      <w:r>
        <w:t xml:space="preserve"> </w:t>
      </w:r>
      <w:r>
        <w:t xml:space="preserve">Validation d’Aptitude au Bon Fonctionnement</w:t>
      </w:r>
    </w:p>
    <w:p>
      <w:pPr>
        <w:pStyle w:val="BodyText"/>
      </w:pPr>
      <w:r>
        <w:rPr>
          <w:b/>
          <w:bCs/>
        </w:rPr>
        <w:t xml:space="preserve">VM</w:t>
      </w:r>
      <w:r>
        <w:t xml:space="preserve"> </w:t>
      </w:r>
      <w:r>
        <w:t xml:space="preserve">Virtual Machine (Machine virtuelle)</w:t>
      </w:r>
    </w:p>
    <w:p>
      <w:pPr>
        <w:pStyle w:val="BodyText"/>
      </w:pPr>
      <w:r>
        <w:rPr>
          <w:b/>
          <w:bCs/>
        </w:rPr>
        <w:t xml:space="preserve">VSR</w:t>
      </w:r>
      <w:r>
        <w:t xml:space="preserve"> </w:t>
      </w:r>
      <w:r>
        <w:t xml:space="preserve">Validation de Service Régulier</w:t>
      </w:r>
      <w:r>
        <w:t xml:space="preserve"> </w:t>
      </w:r>
      <w:r>
        <w:t xml:space="preserve">—————————————————————————–</w:t>
      </w:r>
    </w:p>
    <w:bookmarkEnd w:id="25"/>
    <w:bookmarkEnd w:id="26"/>
    <w:bookmarkStart w:id="27" w:name="gegenstand-dieser-servicevereinbarung"/>
    <w:p>
      <w:pPr>
        <w:pStyle w:val="Heading1"/>
      </w:pPr>
      <w:r>
        <w:t xml:space="preserve">5. Gegenstand dieser Servicevereinbarung</w:t>
      </w:r>
    </w:p>
    <w:p>
      <w:pPr>
        <w:pStyle w:val="FirstParagraph"/>
      </w:pPr>
      <w:r>
        <w:t xml:space="preserve">Diese Servicevereinbarung legt die Bedingungen nach Bedingungen nach</w:t>
      </w:r>
      <w:r>
        <w:t xml:space="preserve"> </w:t>
      </w:r>
      <w:r>
        <w:t xml:space="preserve">was der Dienstleister verpflichtet, den Service dem Sponsor auszustellen.</w:t>
      </w:r>
      <w:r>
        <w:t xml:space="preserve"> </w:t>
      </w:r>
      <w:r>
        <w:t xml:space="preserve">Sein Objekt ist:</w:t>
      </w:r>
    </w:p>
    <w:p>
      <w:pPr>
        <w:numPr>
          <w:ilvl w:val="0"/>
          <w:numId w:val="1004"/>
        </w:numPr>
      </w:pPr>
      <w:r>
        <w:t xml:space="preserve">Geben Sie die vom Sponsor erwarteten Leistungsanforderungen an</w:t>
      </w:r>
      <w:r>
        <w:t xml:space="preserve"> </w:t>
      </w:r>
      <w:r>
        <w:t xml:space="preserve">In Bezug auf die Servicefunktionalität und -vertrauung;</w:t>
      </w:r>
    </w:p>
    <w:p>
      <w:pPr>
        <w:numPr>
          <w:ilvl w:val="0"/>
          <w:numId w:val="1004"/>
        </w:numPr>
      </w:pPr>
      <w:r>
        <w:t xml:space="preserve">Geben Sie die Bereitstellung des Anbieters an, um die Ebenen zu erfüllen</w:t>
      </w:r>
      <w:r>
        <w:t xml:space="preserve"> </w:t>
      </w:r>
      <w:r>
        <w:t xml:space="preserve">vereinbarter Dienst;</w:t>
      </w:r>
    </w:p>
    <w:p>
      <w:pPr>
        <w:numPr>
          <w:ilvl w:val="0"/>
          <w:numId w:val="1004"/>
        </w:numPr>
      </w:pPr>
      <w:r>
        <w:t xml:space="preserve">Identifizieren Sie die regulatorischen Standards speziell auf</w:t>
      </w:r>
      <w:r>
        <w:t xml:space="preserve"> </w:t>
      </w:r>
      <w:r>
        <w:t xml:space="preserve">Dienst ausgegeben;</w:t>
      </w:r>
    </w:p>
    <w:p>
      <w:pPr>
        <w:numPr>
          <w:ilvl w:val="0"/>
          <w:numId w:val="1004"/>
        </w:numPr>
      </w:pPr>
      <w:r>
        <w:t xml:space="preserve">Gewährleistung einer Gleichmäßigkeit und Integrität bei der Bewertung der</w:t>
      </w:r>
      <w:r>
        <w:t xml:space="preserve"> </w:t>
      </w:r>
      <w:r>
        <w:t xml:space="preserve">Servicequalität;</w:t>
      </w:r>
    </w:p>
    <w:p>
      <w:pPr>
        <w:numPr>
          <w:ilvl w:val="0"/>
          <w:numId w:val="1004"/>
        </w:numPr>
      </w:pPr>
      <w:r>
        <w:t xml:space="preserve">garantieren Sie die Exzellenz der erbrachten Dienstleistungen, die mit den Mitteln bewertet werden</w:t>
      </w:r>
      <w:r>
        <w:t xml:space="preserve"> </w:t>
      </w:r>
      <w:r>
        <w:t xml:space="preserve">Quantitative Leistungsindikatoren.</w:t>
      </w:r>
    </w:p>
    <w:p>
      <w:pPr>
        <w:pStyle w:val="FirstParagraph"/>
      </w:pPr>
      <w:r>
        <w:t xml:space="preserve">Es wird festgelegt, dass der Anbieter sich selbst sehen wird</w:t>
      </w:r>
      <w:r>
        <w:t xml:space="preserve"> </w:t>
      </w:r>
      <w:r>
        <w:t xml:space="preserve">Abzahlen</w:t>
      </w:r>
      <w:r>
        <w:t xml:space="preserve"> </w:t>
      </w:r>
      <w:r>
        <w:t xml:space="preserve">Richtig, ohne Strafen durch den Sponsor.In a</w:t>
      </w:r>
      <w:r>
        <w:t xml:space="preserve"> </w:t>
      </w:r>
      <w:r>
        <w:t xml:space="preserve">Wie Möglichkeiten verpflichtet sich der Dienstleister, den Sponsor zu informieren</w:t>
      </w:r>
      <w:r>
        <w:t xml:space="preserve"> </w:t>
      </w:r>
      <w:r>
        <w:t xml:space="preserve">dieser Dequalifikation durch Senden einer offiziellen Benachrichtigung an die</w:t>
      </w:r>
      <w:r>
        <w:t xml:space="preserve"> </w:t>
      </w:r>
      <w:r>
        <w:t xml:space="preserve">Mittel eines eingetragenen Briefes mit Antragsbestätigung des Empfangs.</w:t>
      </w:r>
    </w:p>
    <w:p>
      <w:pPr>
        <w:pStyle w:val="BodyText"/>
      </w:pPr>
      <w:r>
        <w:t xml:space="preserve">Es ist zu beachten, dass eine Änderung oder Anpassung der</w:t>
      </w:r>
      <w:r>
        <w:t xml:space="preserve"> </w:t>
      </w:r>
      <w:r>
        <w:t xml:space="preserve">Qualifikation Secnumcloud wird nicht als Widerruf von interpretiert</w:t>
      </w:r>
      <w:r>
        <w:t xml:space="preserve"> </w:t>
      </w:r>
      <w:r>
        <w:t xml:space="preserve">Erste Qualifikation.</w:t>
      </w:r>
    </w:p>
    <w:bookmarkEnd w:id="27"/>
    <w:bookmarkStart w:id="28" w:name="audit"/>
    <w:p>
      <w:pPr>
        <w:pStyle w:val="Heading1"/>
      </w:pPr>
      <w:r>
        <w:t xml:space="preserve">6. Audit</w:t>
      </w:r>
    </w:p>
    <w:p>
      <w:pPr>
        <w:pStyle w:val="FirstParagraph"/>
      </w:pPr>
      <w:r>
        <w:t xml:space="preserve">Der Dienstleister verpflichtet sich, dem Sponsor oder einem Hörer zuzulassen</w:t>
      </w:r>
      <w:r>
        <w:t xml:space="preserve"> </w:t>
      </w:r>
      <w:r>
        <w:t xml:space="preserve">Dritte und nicht Konkurrent des Dienstleisters, den letztere ernannt hätte, von</w:t>
      </w:r>
      <w:r>
        <w:t xml:space="preserve"> </w:t>
      </w:r>
      <w:r>
        <w:t xml:space="preserve">Wenden Sie sich an alle Dokumente, die für das Zertifikat von erforderlich sind</w:t>
      </w:r>
      <w:r>
        <w:t xml:space="preserve"> </w:t>
      </w:r>
      <w:r>
        <w:t xml:space="preserve">vollständige Einhaltung der Verpflichtungen im Zusammenhang mit der Einhaltung der Einhaltung</w:t>
      </w:r>
      <w:r>
        <w:t xml:space="preserve"> </w:t>
      </w:r>
      <w:r>
        <w:t xml:space="preserve">Bestimmungen von Artikel 28 der allgemeinen Vorschriften zum Schutz von</w:t>
      </w:r>
      <w:r>
        <w:t xml:space="preserve"> </w:t>
      </w:r>
      <w:r>
        <w:t xml:space="preserve">Daten (DSGVO), die so die Produktion von Audits erleichtern.</w:t>
      </w:r>
    </w:p>
    <w:p>
      <w:pPr>
        <w:pStyle w:val="BodyText"/>
      </w:pPr>
      <w:r>
        <w:t xml:space="preserve">Durch Annahme dieser Servicevereinbarung der Sponsor</w:t>
      </w:r>
      <w:r>
        <w:t xml:space="preserve"> </w:t>
      </w:r>
      <w:r>
        <w:t xml:space="preserve">verleiht seine explizite Genehmigung an:</w:t>
      </w:r>
      <w:r>
        <w:t xml:space="preserve"> </w:t>
      </w:r>
      <w:r>
        <w:t xml:space="preserve">1. Die nationale Agentur für Informationssysteme (ANSSI)</w:t>
      </w:r>
      <w:r>
        <w:t xml:space="preserve"> </w:t>
      </w:r>
      <w:r>
        <w:t xml:space="preserve">sowie das zuständige Qualifikationsunternehmen, um die zu übernehmen</w:t>
      </w:r>
      <w:r>
        <w:t xml:space="preserve"> </w:t>
      </w:r>
      <w:r>
        <w:t xml:space="preserve">Überprüfung der Einhaltung des Dienstes und seines Systems</w:t>
      </w:r>
      <w:r>
        <w:t xml:space="preserve"> </w:t>
      </w:r>
      <w:r>
        <w:t xml:space="preserve">Informationen im SECNUMCloud Standard.</w:t>
      </w:r>
      <w:r>
        <w:t xml:space="preserve"> </w:t>
      </w:r>
      <w:r>
        <w:t xml:space="preserve">2. Ein Sicherheitsauditanbieter für Informationssysteme,</w:t>
      </w:r>
      <w:r>
        <w:t xml:space="preserve"> </w:t>
      </w:r>
      <w:r>
        <w:t xml:space="preserve">ordnungsgemäß qualifiziertes Passi und ausdrücklich vom Dienstleister bezeichnet,</w:t>
      </w:r>
      <w:r>
        <w:t xml:space="preserve"> </w:t>
      </w:r>
      <w:r>
        <w:t xml:space="preserve">Sicherheitsaudits in Bezug auf den Service durchführen.</w:t>
      </w:r>
    </w:p>
    <w:bookmarkEnd w:id="28"/>
    <w:bookmarkStart w:id="53" w:name="beschreibung-des-dienstes"/>
    <w:p>
      <w:pPr>
        <w:pStyle w:val="Heading1"/>
      </w:pPr>
      <w:r>
        <w:t xml:space="preserve">7. Beschreibung des Dienstes</w:t>
      </w:r>
    </w:p>
    <w:bookmarkStart w:id="29" w:name="shared-haftungsmodell"/>
    <w:p>
      <w:pPr>
        <w:pStyle w:val="Heading2"/>
      </w:pPr>
      <w:r>
        <w:t xml:space="preserve">7.1.Shared Haftungsmodell</w:t>
      </w:r>
    </w:p>
    <w:p>
      <w:pPr>
        <w:pStyle w:val="FirstParagraph"/>
      </w:pPr>
      <w:r>
        <w:t xml:space="preserve">Der vom Dienstanbieter angebotene Service ist durch das gekennzeichnet</w:t>
      </w:r>
      <w:r>
        <w:t xml:space="preserve"> </w:t>
      </w:r>
      <w:r>
        <w:t xml:space="preserve">Erbringung der folgenden Dienstleistungen, die sich an die Übereinstimmung stellen</w:t>
      </w:r>
      <w:r>
        <w:t xml:space="preserve"> </w:t>
      </w:r>
      <w:r>
        <w:t xml:space="preserve">Prinzip der im Repository vorgestellten gemeinsamen Verantwortung</w:t>
      </w:r>
      <w:r>
        <w:t xml:space="preserve"> </w:t>
      </w:r>
      <w:r>
        <w:t xml:space="preserve">Secnumcloud:</w:t>
      </w:r>
    </w:p>
    <w:p>
      <w:pPr>
        <w:numPr>
          <w:ilvl w:val="0"/>
          <w:numId w:val="1005"/>
        </w:numPr>
      </w:pPr>
      <w:r>
        <w:t xml:space="preserve">Bereitstellung von Berechnungsressourcen (Computer);</w:t>
      </w:r>
    </w:p>
    <w:p>
      <w:pPr>
        <w:numPr>
          <w:ilvl w:val="0"/>
          <w:numId w:val="1005"/>
        </w:numPr>
      </w:pPr>
      <w:r>
        <w:t xml:space="preserve">die Bereitstellung von Lagerräumen;</w:t>
      </w:r>
    </w:p>
    <w:p>
      <w:pPr>
        <w:numPr>
          <w:ilvl w:val="0"/>
          <w:numId w:val="1005"/>
        </w:numPr>
      </w:pPr>
      <w:r>
        <w:t xml:space="preserve">Zugang zu Netzwerkkonnektivität und Internetdiensten;</w:t>
      </w:r>
    </w:p>
    <w:p>
      <w:pPr>
        <w:numPr>
          <w:ilvl w:val="0"/>
          <w:numId w:val="1005"/>
        </w:numPr>
      </w:pPr>
      <w:r>
        <w:t xml:space="preserve">Das Angebot eines Backup -Service, der virtuellen Maschinen gewidmet ist.</w:t>
      </w:r>
      <w:r>
        <w:t xml:space="preserve"> </w:t>
      </w:r>
      <w:r>
        <w:t xml:space="preserve">Le modèle de responsabilités partagé appliqué entre le Prestataire et le</w:t>
      </w:r>
      <w:r>
        <w:t xml:space="preserve"> </w:t>
      </w:r>
      <w:r>
        <w:t xml:space="preserve">COMMANDITAIRE dans le cadre du Service est présenté en §7.1.</w:t>
      </w:r>
    </w:p>
    <w:p>
      <w:pPr>
        <w:pStyle w:val="FirstParagraph"/>
      </w:pPr>
      <w:r>
        <w:t xml:space="preserve">Il est entendu que le Prestataire mobilisera son expertise pour réaliser</w:t>
      </w:r>
      <w:r>
        <w:t xml:space="preserve"> </w:t>
      </w:r>
      <w:r>
        <w:t xml:space="preserve">les Prestations selon les meilleures pratiques professionnelles et</w:t>
      </w:r>
      <w:r>
        <w:t xml:space="preserve"> </w:t>
      </w:r>
      <w:r>
        <w:t xml:space="preserve">conformément aux exigences du référentiel SecNumCloud.</w:t>
      </w:r>
    </w:p>
    <w:bookmarkEnd w:id="29"/>
    <w:bookmarkStart w:id="36" w:name="X8de32e16fe5223ba5abb78c815e1fe5209eaac7"/>
    <w:p>
      <w:pPr>
        <w:pStyle w:val="Heading2"/>
      </w:pPr>
      <w:r>
        <w:t xml:space="preserve">7.2. Présentation détaillée du périmètre du Service</w:t>
      </w:r>
    </w:p>
    <w:tbl>
      <w:tblPr>
        <w:tblStyle w:val="Table"/>
        <w:tblW w:type="pct" w:w="4167"/>
        <w:tblLayout w:type="fixed"/>
        <w:tblLook w:firstRow="1" w:lastRow="0" w:firstColumn="0" w:lastColumn="0" w:noHBand="0" w:noVBand="0" w:val="0020"/>
      </w:tblPr>
      <w:tblGrid>
        <w:gridCol w:w="66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Berechnen Sie die Computerressource für den Sponsor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Speicherproduktionsdaten der Reinigung Certhen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Objektspeicherbereitstellung von Objektspeicherinfrastruktur</w:t>
            </w:r>
            <w:r>
              <w:t xml:space="preserve"> </w:t>
            </w:r>
            <w:r>
              <w:t xml:space="preserve">S3 Souverän Multi AZ und kompatibel mit Standard -S3 -APIs.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Modulo-Backup-Abonnement für die entsprechende Massenspeicherung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Netzwerkressourceninfrastruktur des Sponsors</w:t>
            </w:r>
            <w:r>
              <w:t xml:space="preserve"> </w:t>
            </w:r>
            <w:r>
              <w:t xml:space="preserve">Netzwerk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Konsolen des Dienstes, sodass der Sponsor auf seinen zugreifen kann</w:t>
            </w:r>
            <w:r>
              <w:t xml:space="preserve"> </w:t>
            </w:r>
            <w:r>
              <w:t xml:space="preserve">Service IaaS -Sponsor und verwalten es über die Shiva -Schnittstelle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Unterstützen Sie den Support -Service, der die vorherigen Dienste begleitet</w:t>
            </w:r>
            <w:r>
              <w:t xml:space="preserve"> </w:t>
            </w:r>
            <w:r>
              <w:t xml:space="preserve">und nur diese (*)</w:t>
            </w:r>
          </w:p>
        </w:tc>
      </w:tr>
    </w:tbl>
    <w:p>
      <w:pPr>
        <w:pStyle w:val="BodyText"/>
      </w:pPr>
      <w:r>
        <w:t xml:space="preserve"> _ (*) Innerhalb der Grenzen des Umfangs des qualifizierten SNC -Dienstes und</w:t>
      </w:r>
      <w:r>
        <w:t xml:space="preserve"> </w:t>
      </w:r>
      <w:r>
        <w:t xml:space="preserve">Verantwortlichkeiten des Dienstleisters in der Angelegenheit  _</w:t>
      </w:r>
      <w:r>
        <w:t xml:space="preserve"> </w:t>
      </w:r>
      <w:r>
        <w:t xml:space="preserve">### 7.2.1.Rechenzentreninfrastruktur</w:t>
      </w:r>
    </w:p>
    <w:p>
      <w:pPr>
        <w:pStyle w:val="BodyText"/>
      </w:pPr>
      <w:r>
        <w:t xml:space="preserve">Der Service beinhaltet die Bestimmung für jeden Bereich von</w:t>
      </w:r>
      <w:r>
        <w:t xml:space="preserve"> </w:t>
      </w:r>
      <w:r>
        <w:t xml:space="preserve">Verfügbarkeit, qualifizierte Dienstleistungen unten:</w:t>
      </w:r>
    </w:p>
    <w:p>
      <w:pPr>
        <w:pStyle w:val="Compact"/>
        <w:numPr>
          <w:ilvl w:val="0"/>
          <w:numId w:val="1006"/>
        </w:numPr>
      </w:pPr>
      <w:r>
        <w:t xml:space="preserve">Datencenter -Site in Frankreich für die FR -Region gemäß der FR -Region, gemäß den</w:t>
      </w:r>
      <w:r>
        <w:t xml:space="preserve"> </w:t>
      </w:r>
      <w:r>
        <w:t xml:space="preserve">Neueste technologische Standards mit einem Maß an</w:t>
      </w:r>
      <w:r>
        <w:t xml:space="preserve"> </w:t>
      </w:r>
      <w:r>
        <w:t xml:space="preserve">Resilienz entspricht oder höher auf der Stufe 3 der Laufzeit</w:t>
      </w:r>
      <w:r>
        <w:t xml:space="preserve"> </w:t>
      </w:r>
      <w:r>
        <w:t xml:space="preserve">Institut;</w:t>
      </w:r>
    </w:p>
    <w:p>
      <w:pPr>
        <w:pStyle w:val="Compact"/>
        <w:numPr>
          <w:ilvl w:val="0"/>
          <w:numId w:val="1006"/>
        </w:numPr>
      </w:pPr>
      <w:r>
        <w:t xml:space="preserve">Bereitstellung von technischen Räumen in dedizierten Rechenzentren</w:t>
      </w:r>
      <w:r>
        <w:t xml:space="preserve"> </w:t>
      </w:r>
      <w:r>
        <w:t xml:space="preserve">Bei der Empfang von technischen Geräten, die für die Produktion unerlässlich sind</w:t>
      </w:r>
      <w:r>
        <w:t xml:space="preserve"> </w:t>
      </w:r>
      <w:r>
        <w:t xml:space="preserve">Service, einschließlich Berechnung, Speicher, Netzwerk, Verkabelung und anderer</w:t>
      </w:r>
      <w:r>
        <w:t xml:space="preserve"> </w:t>
      </w:r>
      <w:r>
        <w:t xml:space="preserve">notwendige Komponenten;</w:t>
      </w:r>
    </w:p>
    <w:p>
      <w:pPr>
        <w:pStyle w:val="Compact"/>
        <w:numPr>
          <w:ilvl w:val="0"/>
          <w:numId w:val="1006"/>
        </w:numPr>
      </w:pPr>
      <w:r>
        <w:t xml:space="preserve">Sicherung der Stromversorgung, die von zwei Schaltungen bereitgestellt wird</w:t>
      </w:r>
      <w:r>
        <w:t xml:space="preserve"> </w:t>
      </w:r>
      <w:r>
        <w:t xml:space="preserve">getrennter Strom, Garantie für die Kontinuität des Dienstes;</w:t>
      </w:r>
    </w:p>
    <w:p>
      <w:pPr>
        <w:pStyle w:val="Compact"/>
        <w:numPr>
          <w:ilvl w:val="0"/>
          <w:numId w:val="1006"/>
        </w:numPr>
      </w:pPr>
      <w:r>
        <w:t xml:space="preserve">Lieferung von Klimaanlagen, angepasst an die Einhaltung</w:t>
      </w:r>
      <w:r>
        <w:t xml:space="preserve"> </w:t>
      </w:r>
      <w:r>
        <w:t xml:space="preserve">Standards und Empfehlungen für Gerätehersteller, um zu</w:t>
      </w:r>
      <w:r>
        <w:t xml:space="preserve"> </w:t>
      </w:r>
      <w:r>
        <w:t xml:space="preserve">Eine optimale Umgebung für technische Geräte aufrechterhalten;</w:t>
      </w:r>
    </w:p>
    <w:p>
      <w:pPr>
        <w:pStyle w:val="Compact"/>
        <w:numPr>
          <w:ilvl w:val="0"/>
          <w:numId w:val="1006"/>
        </w:numPr>
      </w:pPr>
      <w:r>
        <w:t xml:space="preserve">kontinuierliche Überwachung und detaillierte Metrologie, die Follow -up ermöglichen</w:t>
      </w:r>
      <w:r>
        <w:t xml:space="preserve"> </w:t>
      </w:r>
      <w:r>
        <w:t xml:space="preserve">präzises und proaktives Management der Leistung und Sicherheit der</w:t>
      </w:r>
      <w:r>
        <w:t xml:space="preserve"> </w:t>
      </w:r>
      <w:r>
        <w:t xml:space="preserve">Service erbracht.</w:t>
      </w:r>
    </w:p>
    <w:p>
      <w:pPr>
        <w:pStyle w:val="FirstParagraph"/>
      </w:pPr>
      <w:r>
        <w:t xml:space="preserve">Der Dienstleister bietet die Bereitstellung fortschrittlicher Dienste an</w:t>
      </w:r>
      <w:r>
        <w:t xml:space="preserve"> </w:t>
      </w:r>
      <w:r>
        <w:t xml:space="preserve">Branderkennung und Aussterben, die zur Identifizierung und zur Identifizierung von</w:t>
      </w:r>
      <w:r>
        <w:t xml:space="preserve"> </w:t>
      </w:r>
      <w:r>
        <w:t xml:space="preserve">Neutralisiert jeden Brandbeginn innerhalb der Installationen.</w:t>
      </w:r>
      <w:r>
        <w:t xml:space="preserve"> </w:t>
      </w:r>
      <w:r>
        <w:t xml:space="preserve">Diese Systeme sind unerlässlich, um die Sicherheit von Geräten zu gewährleisten</w:t>
      </w:r>
      <w:r>
        <w:t xml:space="preserve"> </w:t>
      </w:r>
      <w:r>
        <w:t xml:space="preserve">und Daten.Dazu gehören hohe Rauchmelder</w:t>
      </w:r>
      <w:r>
        <w:t xml:space="preserve"> </w:t>
      </w:r>
      <w:r>
        <w:t xml:space="preserve">Präzisions- und Aussterbungsgeräte, die schnell handeln können</w:t>
      </w:r>
      <w:r>
        <w:t xml:space="preserve"> </w:t>
      </w:r>
      <w:r>
        <w:t xml:space="preserve">ohne die Computerausrüstung zu beschädigen.Dieser Service ist entscheidend für</w:t>
      </w:r>
      <w:r>
        <w:t xml:space="preserve"> </w:t>
      </w:r>
      <w:r>
        <w:t xml:space="preserve">Brandrisiken verhindern, mögliche Schäden minimieren und</w:t>
      </w:r>
      <w:r>
        <w:t xml:space="preserve"> </w:t>
      </w:r>
      <w:r>
        <w:t xml:space="preserve">Stellen Sie die Kontinuität der Operationen sicher.</w:t>
      </w:r>
    </w:p>
    <w:p>
      <w:pPr>
        <w:pStyle w:val="BodyText"/>
      </w:pPr>
      <w:r>
        <w:t xml:space="preserve">Der Sponsor wird darüber informiert, dass alle Verfahren und Maßnahmen von</w:t>
      </w:r>
      <w:r>
        <w:t xml:space="preserve"> </w:t>
      </w:r>
      <w:r>
        <w:t xml:space="preserve">Sicherheit implementiert, einschließlich jährlicher Schalttests ein</w:t>
      </w:r>
      <w:r>
        <w:t xml:space="preserve"> </w:t>
      </w:r>
      <w:r>
        <w:t xml:space="preserve">Generatoren sind wichtig, um die Kontinuität zu gewährleisten</w:t>
      </w:r>
      <w:r>
        <w:t xml:space="preserve"> </w:t>
      </w:r>
      <w:r>
        <w:t xml:space="preserve">und die Integrität der erbrachten Dienste.Diese Praktiken sind für für</w:t>
      </w:r>
      <w:r>
        <w:t xml:space="preserve"> </w:t>
      </w:r>
      <w:r>
        <w:t xml:space="preserve">Minimieren Sie das Versagensrisiko und gewährleisten im Fall eine optimale Reaktionsfähigkeit</w:t>
      </w:r>
      <w:r>
        <w:t xml:space="preserve"> </w:t>
      </w:r>
      <w:r>
        <w:t xml:space="preserve">Vorfall.Durch die Akzeptanz dieser Bedingungen erkennt der Sponsor erkannt</w:t>
      </w:r>
      <w:r>
        <w:t xml:space="preserve"> </w:t>
      </w:r>
      <w:r>
        <w:t xml:space="preserve">die Bedeutung dieser Maßnahmen und Verpflichtungen, vollständig für zusammenzuarbeiten</w:t>
      </w:r>
      <w:r>
        <w:t xml:space="preserve"> </w:t>
      </w:r>
      <w:r>
        <w:t xml:space="preserve">Erleichterung ihrer Umsetzung.Der Sponsor wird auch dazu ermutigt</w:t>
      </w:r>
      <w:r>
        <w:t xml:space="preserve"> </w:t>
      </w:r>
      <w:r>
        <w:t xml:space="preserve">Lesen Sie die bereitgestellten Sicherheitsempfehlungen und an</w:t>
      </w:r>
      <w:r>
        <w:t xml:space="preserve"> </w:t>
      </w:r>
      <w:r>
        <w:t xml:space="preserve">In eine eigene Risikomanagementstrategie integrieren.</w:t>
      </w:r>
    </w:p>
    <w:bookmarkStart w:id="30" w:name="Xe7ca06fe95f879bf2600b597a8eff39915f57d5"/>
    <w:p>
      <w:pPr>
        <w:pStyle w:val="Heading3"/>
      </w:pPr>
      <w:r>
        <w:t xml:space="preserve">7.2.2.Service -Management -Software -Infrastruktur</w:t>
      </w:r>
    </w:p>
    <w:p>
      <w:pPr>
        <w:pStyle w:val="FirstParagraph"/>
      </w:pPr>
      <w:r>
        <w:t xml:space="preserve">Der Dienstleister stellt dem Sponsor die Verwaltungskonsole und zur Verfügung</w:t>
      </w:r>
      <w:r>
        <w:t xml:space="preserve"> </w:t>
      </w:r>
      <w:r>
        <w:t xml:space="preserve">Die API, die für die Nutzung des Dienstes erforderlich ist.Er verpflichtet sich auch zu</w:t>
      </w:r>
      <w:r>
        <w:t xml:space="preserve"> </w:t>
      </w:r>
      <w:r>
        <w:t xml:space="preserve">Behalten Sie diese Verwaltungskonsole und die API im Zustand bei</w:t>
      </w:r>
      <w:r>
        <w:t xml:space="preserve"> </w:t>
      </w:r>
      <w:r>
        <w:t xml:space="preserve">optimaler Betrieb und um ihre Sicherheit kontinuierlich zu gewährleisten.</w:t>
      </w:r>
      <w:r>
        <w:t xml:space="preserve"> </w:t>
      </w:r>
      <w:r>
        <w:t xml:space="preserve">Diese Verwaltungskonsole und die API sind in gewisser Weise benannt</w:t>
      </w:r>
      <w:r>
        <w:t xml:space="preserve"> </w:t>
      </w:r>
      <w:r>
        <w:t xml:space="preserve">unter dem Begriff</w:t>
      </w:r>
      <w:r>
        <w:t xml:space="preserve"> </w:t>
      </w:r>
      <w:r>
        <w:t xml:space="preserve">“Sponsor -Schnittstelle”</w:t>
      </w:r>
      <w:r>
        <w:t xml:space="preserve"> </w:t>
      </w:r>
      <w:r>
        <w:t xml:space="preserve">gruppiert.</w:t>
      </w:r>
    </w:p>
    <w:p>
      <w:pPr>
        <w:pStyle w:val="BodyText"/>
      </w:pPr>
      <w:r>
        <w:t xml:space="preserve">Der Dienstanbieter benachrichtigt den Sponsor darauf, dass eine Verwendung</w:t>
      </w:r>
      <w:r>
        <w:t xml:space="preserve"> </w:t>
      </w:r>
      <w:r>
        <w:t xml:space="preserve">Abnormal der Sponsor -Schnittstelle, insbesondere im Falle einer Überlastung von</w:t>
      </w:r>
      <w:r>
        <w:t xml:space="preserve"> </w:t>
      </w:r>
      <w:r>
        <w:t xml:space="preserve">Seine Befehls -APIs (Hämmern) können Maßnahmen von auslösen</w:t>
      </w:r>
      <w:r>
        <w:t xml:space="preserve"> </w:t>
      </w:r>
      <w:r>
        <w:t xml:space="preserve">Automatische Sicherheit, die zum Blockieren des Zugangs zu Blockierung zu Blockierung zu</w:t>
      </w:r>
      <w:r>
        <w:t xml:space="preserve"> </w:t>
      </w:r>
      <w:r>
        <w:t xml:space="preserve">Bestellung oder Service.Es sollte beachtet werden, dass diese Situation nicht der Fall ist</w:t>
      </w:r>
      <w:r>
        <w:t xml:space="preserve"> </w:t>
      </w:r>
      <w:r>
        <w:t xml:space="preserve">stellt die Nichtverfügbarkeit des Dienstes, aber eine Aktion von dar</w:t>
      </w:r>
      <w:r>
        <w:t xml:space="preserve"> </w:t>
      </w:r>
      <w:r>
        <w:t xml:space="preserve">Schutz und Infrastruktur des Dienstleisters;von</w:t>
      </w:r>
      <w:r>
        <w:t xml:space="preserve"> </w:t>
      </w:r>
      <w:r>
        <w:t xml:space="preserve">Folglich kann der Sponsor es nicht als als betrachten</w:t>
      </w:r>
      <w:r>
        <w:t xml:space="preserve"> </w:t>
      </w:r>
      <w:r>
        <w:t xml:space="preserve">Nichtverfügbarkeit in seinen Berechnungen.</w:t>
      </w:r>
    </w:p>
    <w:p>
      <w:pPr>
        <w:pStyle w:val="BodyText"/>
      </w:pPr>
      <w:r>
        <w:t xml:space="preserve">Darüber hinaus gibt der Dienstanbieter dem Antrag auf den Sponsor an</w:t>
      </w:r>
      <w:r>
        <w:t xml:space="preserve"> </w:t>
      </w:r>
      <w:r>
        <w:t xml:space="preserve">Die an seine APIs gesendeten vollkommen identischen (Duplikate) sind beschränkt auf</w:t>
      </w:r>
      <w:r>
        <w:t xml:space="preserve"> </w:t>
      </w:r>
      <w:r>
        <w:t xml:space="preserve">Eine pro Sekunde (Drosselung).Wenn der Sponsor Anfragen vorlegt</w:t>
      </w:r>
      <w:r>
        <w:t xml:space="preserve"> </w:t>
      </w:r>
      <w:r>
        <w:t xml:space="preserve">Identisch mit einer höheren Frequenz kann ihre Ablehnung nicht sein</w:t>
      </w:r>
      <w:r>
        <w:t xml:space="preserve"> </w:t>
      </w:r>
      <w:r>
        <w:t xml:space="preserve">als Nichtverfügbarkeit des Dienstes interpretiert.</w:t>
      </w:r>
    </w:p>
    <w:bookmarkEnd w:id="30"/>
    <w:bookmarkStart w:id="31" w:name="berechnungsinfrastruktur"/>
    <w:p>
      <w:pPr>
        <w:pStyle w:val="Heading3"/>
      </w:pPr>
      <w:r>
        <w:t xml:space="preserve">7.2.3.Berechnungsinfrastruktur</w:t>
      </w:r>
    </w:p>
    <w:p>
      <w:pPr>
        <w:pStyle w:val="FirstParagraph"/>
      </w:pPr>
      <w:r>
        <w:t xml:space="preserve">Der Service umfasst Lieferung in Verfügbarkeitsbereichen</w:t>
      </w:r>
      <w:r>
        <w:t xml:space="preserve"> </w:t>
      </w:r>
      <w:r>
        <w:t xml:space="preserve">vom Sponsor abonniert, die Ausrüstung, die erforderlich ist</w:t>
      </w:r>
      <w:r>
        <w:t xml:space="preserve"> </w:t>
      </w:r>
      <w:r>
        <w:t xml:space="preserve">Die Ausführung von Workloads in Form von virtuellen Maschinen.</w:t>
      </w:r>
    </w:p>
    <w:p>
      <w:pPr>
        <w:pStyle w:val="BodyText"/>
      </w:pPr>
      <w:r>
        <w:t xml:space="preserve">Dies beinhaltet:</w:t>
      </w:r>
    </w:p>
    <w:p>
      <w:pPr>
        <w:pStyle w:val="Compact"/>
        <w:numPr>
          <w:ilvl w:val="0"/>
          <w:numId w:val="1007"/>
        </w:numPr>
      </w:pPr>
      <w:r>
        <w:t xml:space="preserve">Das Angebot an technischem Chassis, das für die ordnungsgemäße Funktion erforderlich ist</w:t>
      </w:r>
      <w:r>
        <w:t xml:space="preserve"> </w:t>
      </w:r>
      <w:r>
        <w:t xml:space="preserve">Berechnungsklingen;</w:t>
      </w:r>
    </w:p>
    <w:p>
      <w:pPr>
        <w:pStyle w:val="Compact"/>
        <w:numPr>
          <w:ilvl w:val="0"/>
          <w:numId w:val="1007"/>
        </w:numPr>
      </w:pPr>
      <w:r>
        <w:t xml:space="preserve">Die Versorgung von Berechnungsklingen in den durch die angegebenen Mengen</w:t>
      </w:r>
      <w:r>
        <w:t xml:space="preserve"> </w:t>
      </w:r>
      <w:r>
        <w:t xml:space="preserve">Sponsor und verteilt nach den Verfügbarkeitszonen seiner</w:t>
      </w:r>
      <w:r>
        <w:t xml:space="preserve"> </w:t>
      </w:r>
      <w:r>
        <w:t xml:space="preserve">Auswahl.Es ist zu beachten, dass diese Berechnungsklingen ausschließlich sind</w:t>
      </w:r>
      <w:r>
        <w:t xml:space="preserve"> </w:t>
      </w:r>
      <w:r>
        <w:t xml:space="preserve">dem Sponsor gewidmet;</w:t>
      </w:r>
    </w:p>
    <w:p>
      <w:pPr>
        <w:pStyle w:val="Compact"/>
        <w:numPr>
          <w:ilvl w:val="0"/>
          <w:numId w:val="1007"/>
        </w:numPr>
      </w:pPr>
      <w:r>
        <w:t xml:space="preserve">Die Bereitstellung von Betriebssystemen vom Hypervisor -Typ,</w:t>
      </w:r>
      <w:r>
        <w:t xml:space="preserve"> </w:t>
      </w:r>
      <w:r>
        <w:t xml:space="preserve">sowie die Garantie für die Aufrechterhaltung des Betriebszustands und</w:t>
      </w:r>
      <w:r>
        <w:t xml:space="preserve"> </w:t>
      </w:r>
      <w:r>
        <w:t xml:space="preserve">Sicherheit der Softwareinfrastruktur, die erforderlich ist, um diese zu steuern</w:t>
      </w:r>
      <w:r>
        <w:t xml:space="preserve"> </w:t>
      </w:r>
      <w:r>
        <w:t xml:space="preserve">Betriebssysteme.Es sollte hervorgehoben werden</w:t>
      </w:r>
      <w:r>
        <w:t xml:space="preserve"> </w:t>
      </w:r>
      <w:r>
        <w:t xml:space="preserve">Wenn der Dienstleister für die operative Wartung verantwortlich ist und</w:t>
      </w:r>
      <w:r>
        <w:t xml:space="preserve"> </w:t>
      </w:r>
      <w:r>
        <w:t xml:space="preserve">Gesamtsicherheit des Dienstes, es gilt nicht</w:t>
      </w:r>
      <w:r>
        <w:t xml:space="preserve"> </w:t>
      </w:r>
      <w:r>
        <w:t xml:space="preserve">spezifisches Wissen über Produktionsumgebungen</w:t>
      </w:r>
      <w:r>
        <w:t xml:space="preserve"> </w:t>
      </w:r>
      <w:r>
        <w:t xml:space="preserve">des Sponsors oder der Anforderungen, die mit seinen Arbeitsbelastungen verbunden sind.Von</w:t>
      </w:r>
      <w:r>
        <w:t xml:space="preserve"> </w:t>
      </w:r>
      <w:r>
        <w:t xml:space="preserve">Folglich die Verantwortung für die Entscheidung über das Update von</w:t>
      </w:r>
      <w:r>
        <w:t xml:space="preserve"> </w:t>
      </w:r>
      <w:r>
        <w:t xml:space="preserve">Betriebssysteme von Hypervisor -Berechnungsklingen, eine Aktion</w:t>
      </w:r>
      <w:r>
        <w:t xml:space="preserve"> </w:t>
      </w:r>
      <w:r>
        <w:t xml:space="preserve">wahrscheinlich einen Neustart benötigt, ruht vollständig auf der</w:t>
      </w:r>
      <w:r>
        <w:t xml:space="preserve"> </w:t>
      </w:r>
      <w:r>
        <w:t xml:space="preserve">Sponsor.Dieser Vorgang kann über die Schnittstelle durchgeführt werden</w:t>
      </w:r>
      <w:r>
        <w:t xml:space="preserve"> </w:t>
      </w:r>
      <w:r>
        <w:t xml:space="preserve">Sponsor.</w:t>
      </w:r>
    </w:p>
    <w:p>
      <w:pPr>
        <w:pStyle w:val="FirstParagraph"/>
      </w:pPr>
      <w:r>
        <w:t xml:space="preserve">Die Auswahl des Berechnungsblattmodells, das aus dem Katalog ausgewählt wurde</w:t>
      </w:r>
      <w:r>
        <w:t xml:space="preserve"> </w:t>
      </w:r>
      <w:r>
        <w:t xml:space="preserve">vom Dienstleister vorgeschlagen, liegt in der Verantwortung des</w:t>
      </w:r>
      <w:r>
        <w:t xml:space="preserve"> </w:t>
      </w:r>
      <w:r>
        <w:t xml:space="preserve">Sponsor.</w:t>
      </w:r>
    </w:p>
    <w:bookmarkEnd w:id="31"/>
    <w:bookmarkStart w:id="32" w:name="speicherinfrastruktur"/>
    <w:p>
      <w:pPr>
        <w:pStyle w:val="Heading3"/>
      </w:pPr>
      <w:r>
        <w:t xml:space="preserve">7.2.4.Speicherinfrastruktur</w:t>
      </w:r>
    </w:p>
    <w:p>
      <w:pPr>
        <w:pStyle w:val="FirstParagraph"/>
      </w:pPr>
      <w:r>
        <w:t xml:space="preserve">Der Service beinhaltet die Versorgung des Sponsors einer Infrastruktur</w:t>
      </w:r>
      <w:r>
        <w:t xml:space="preserve"> </w:t>
      </w:r>
      <w:r>
        <w:t xml:space="preserve">Shared San Type Storage (Speicherbereichsnetzwerk), das verschiedene anbietet</w:t>
      </w:r>
      <w:r>
        <w:t xml:space="preserve"> </w:t>
      </w:r>
      <w:r>
        <w:t xml:space="preserve">Leistungsniveaus.Dieser Service enthält:</w:t>
      </w:r>
      <w:r>
        <w:t xml:space="preserve"> </w:t>
      </w:r>
      <w:r>
        <w:t xml:space="preserve">- Implementierung und Wartung im operativen Zustand und</w:t>
      </w:r>
      <w:r>
        <w:t xml:space="preserve"> </w:t>
      </w:r>
      <w:r>
        <w:t xml:space="preserve">San Dedicated San Network Security;</w:t>
      </w:r>
      <w:r>
        <w:t xml:space="preserve"> </w:t>
      </w:r>
      <w:r>
        <w:t xml:space="preserve">- Die Installation und Verwaltung gemeinsamer Speicherbeeren zwischen</w:t>
      </w:r>
      <w:r>
        <w:t xml:space="preserve"> </w:t>
      </w:r>
      <w:r>
        <w:t xml:space="preserve">Kunden, einschließlich ihrer Wartung im operativen Zustand und</w:t>
      </w:r>
      <w:r>
        <w:t xml:space="preserve"> </w:t>
      </w:r>
      <w:r>
        <w:t xml:space="preserve">Sicherheitsbedingung, Überwachung und Metrologie;</w:t>
      </w:r>
      <w:r>
        <w:t xml:space="preserve"> </w:t>
      </w:r>
      <w:r>
        <w:t xml:space="preserve">- Die Implementierung automatisierter Systeme zur Zuweisung von LUNs</w:t>
      </w:r>
      <w:r>
        <w:t xml:space="preserve"> </w:t>
      </w:r>
      <w:r>
        <w:t xml:space="preserve">(Logische Einheitsnummern) des Speichers, der der Verwendung des Sponsors gewidmet ist,</w:t>
      </w:r>
      <w:r>
        <w:t xml:space="preserve"> </w:t>
      </w:r>
      <w:r>
        <w:t xml:space="preserve">Gemäß den vom Sponsor abonnierten Bänden.</w:t>
      </w:r>
    </w:p>
    <w:bookmarkEnd w:id="32"/>
    <w:bookmarkStart w:id="33" w:name="globale-netzwerkinfrastruktur"/>
    <w:p>
      <w:pPr>
        <w:pStyle w:val="Heading3"/>
      </w:pPr>
      <w:r>
        <w:t xml:space="preserve">7.2.5.Globale Netzwerkinfrastruktur</w:t>
      </w:r>
    </w:p>
    <w:p>
      <w:pPr>
        <w:pStyle w:val="FirstParagraph"/>
      </w:pPr>
      <w:r>
        <w:t xml:space="preserve">Der Dienstanbieter stellt als Teil des Dienstes ein globales Netzwerk bereit</w:t>
      </w:r>
      <w:r>
        <w:t xml:space="preserve"> </w:t>
      </w:r>
      <w:r>
        <w:t xml:space="preserve">Erleichterung des Sponsors der Zugänglichkeit seiner Systeme</w:t>
      </w:r>
      <w:r>
        <w:t xml:space="preserve"> </w:t>
      </w:r>
      <w:r>
        <w:t xml:space="preserve">Gehostet.Dieser Service enthält:</w:t>
      </w:r>
    </w:p>
    <w:p>
      <w:pPr>
        <w:pStyle w:val="Compact"/>
        <w:numPr>
          <w:ilvl w:val="0"/>
          <w:numId w:val="1008"/>
        </w:numPr>
      </w:pPr>
      <w:r>
        <w:t xml:space="preserve">Die Versorgung, die Wartung im operativen Zustand und im Zustand</w:t>
      </w:r>
      <w:r>
        <w:t xml:space="preserve"> </w:t>
      </w:r>
      <w:r>
        <w:t xml:space="preserve">Sicherheit aller optischen Faserbindungen</w:t>
      </w:r>
      <w:r>
        <w:t xml:space="preserve"> </w:t>
      </w:r>
      <w:r>
        <w:t xml:space="preserve">Zusammenhänge der verschiedenen Verfügbarkeitszonen;</w:t>
      </w:r>
    </w:p>
    <w:p>
      <w:pPr>
        <w:pStyle w:val="Compact"/>
        <w:numPr>
          <w:ilvl w:val="0"/>
          <w:numId w:val="1008"/>
        </w:numPr>
      </w:pPr>
      <w:r>
        <w:t xml:space="preserve">Die Versorgung, die Wartung im operativen Zustand und im Zustand</w:t>
      </w:r>
      <w:r>
        <w:t xml:space="preserve"> </w:t>
      </w:r>
      <w:r>
        <w:t xml:space="preserve">Sicherheit für die technische Ausrüstung für das Recht erforderlich</w:t>
      </w:r>
      <w:r>
        <w:t xml:space="preserve"> </w:t>
      </w:r>
      <w:r>
        <w:t xml:space="preserve">Netzwerkbetrieb und Isolierung verschiedener Kunden.</w:t>
      </w:r>
    </w:p>
    <w:p>
      <w:pPr>
        <w:pStyle w:val="FirstParagraph"/>
      </w:pPr>
      <w:r>
        <w:t xml:space="preserve">Die Netzwerkverbindung der Behörde, das Internet oder</w:t>
      </w:r>
      <w:r>
        <w:t xml:space="preserve"> </w:t>
      </w:r>
      <w:r>
        <w:t xml:space="preserve">private Netzwerke und Netzwerkgeräte, Betreiber und andere</w:t>
      </w:r>
      <w:r>
        <w:t xml:space="preserve"> </w:t>
      </w:r>
      <w:r>
        <w:t xml:space="preserve">Technische Komponenten, die diese Verbindung durchführen, sind nicht Teil</w:t>
      </w:r>
      <w:r>
        <w:t xml:space="preserve"> </w:t>
      </w:r>
      <w:r>
        <w:t xml:space="preserve">der Umfang des Dienstes.Diese Netzwerkverbindung wird implementiert</w:t>
      </w:r>
      <w:r>
        <w:t xml:space="preserve"> </w:t>
      </w:r>
      <w:r>
        <w:t xml:space="preserve">gemäß den im Vertrag vorgesehenen Bestimmungen.</w:t>
      </w:r>
    </w:p>
    <w:bookmarkEnd w:id="33"/>
    <w:bookmarkStart w:id="34" w:name="sicherungsinfrastruktur"/>
    <w:p>
      <w:pPr>
        <w:pStyle w:val="Heading3"/>
      </w:pPr>
      <w:r>
        <w:t xml:space="preserve">7.2.6.Sicherungsinfrastruktur</w:t>
      </w:r>
    </w:p>
    <w:p>
      <w:pPr>
        <w:pStyle w:val="FirstParagraph"/>
      </w:pPr>
      <w:r>
        <w:t xml:space="preserve">Der Dienstleister bietet dem Sponsor einen Service von</w:t>
      </w:r>
      <w:r>
        <w:t xml:space="preserve"> </w:t>
      </w:r>
      <w:r>
        <w:t xml:space="preserve">integrierte, engagierte und verwaltete Sicherung, die zum Schutz von ITS vorgesehen ist</w:t>
      </w:r>
      <w:r>
        <w:t xml:space="preserve"> </w:t>
      </w:r>
      <w:r>
        <w:t xml:space="preserve">Virtuelle Maschinen.Der Anbieter sorgt für die Wartung im Zustand</w:t>
      </w:r>
      <w:r>
        <w:t xml:space="preserve"> </w:t>
      </w:r>
      <w:r>
        <w:t xml:space="preserve">Betriebs- und Sicherheitszustand dieses Backup -Service.</w:t>
      </w:r>
      <w:r>
        <w:t xml:space="preserve"> </w:t>
      </w:r>
      <w:r>
        <w:t xml:space="preserve">Der Dienstleister stellt sicher, dass die Backups des Sponsors sein werden</w:t>
      </w:r>
      <w:r>
        <w:t xml:space="preserve"> </w:t>
      </w:r>
      <w:r>
        <w:t xml:space="preserve">Befindet sich außerhalb des Verfügbarkeitsbereichs für Workloads</w:t>
      </w:r>
      <w:r>
        <w:t xml:space="preserve"> </w:t>
      </w:r>
      <w:r>
        <w:t xml:space="preserve">Sichergestellt, vorausgesetzt, der Sponsor hat die Einheiten abonniert</w:t>
      </w:r>
      <w:r>
        <w:t xml:space="preserve"> </w:t>
      </w:r>
      <w:r>
        <w:t xml:space="preserve">angemessene Arbeit.</w:t>
      </w:r>
    </w:p>
    <w:p>
      <w:pPr>
        <w:pStyle w:val="BodyText"/>
      </w:pPr>
      <w:r>
        <w:t xml:space="preserve">Dieser Backup -Service beschränkt sich auf Sparenmaschinen</w:t>
      </w:r>
      <w:r>
        <w:t xml:space="preserve"> </w:t>
      </w:r>
      <w:r>
        <w:t xml:space="preserve">Virtual- und Umwelttopologiekonfigurationen IaaS</w:t>
      </w:r>
      <w:r>
        <w:t xml:space="preserve"> </w:t>
      </w:r>
      <w:r>
        <w:t xml:space="preserve">Mieter des Sponsors als Teil des Dienstes.Entwicklung und</w:t>
      </w:r>
      <w:r>
        <w:t xml:space="preserve"> </w:t>
      </w:r>
      <w:r>
        <w:t xml:space="preserve">Die Anwendung einer angemessenen Schutzrichtlinie durch die</w:t>
      </w:r>
      <w:r>
        <w:t xml:space="preserve"> </w:t>
      </w:r>
      <w:r>
        <w:t xml:space="preserve">Der Sponsor ist vom Abonnement für Arbeitseinheiten abhängig</w:t>
      </w:r>
      <w:r>
        <w:t xml:space="preserve"> </w:t>
      </w:r>
      <w:r>
        <w:t xml:space="preserve">spezifisch.Es liegt daher in der Verantwortung des Sponsors, das zu gewährleisten</w:t>
      </w:r>
      <w:r>
        <w:t xml:space="preserve"> </w:t>
      </w:r>
      <w:r>
        <w:t xml:space="preserve">Verfügbarkeit der erforderlichen technischen Ressourcen mit dem</w:t>
      </w:r>
      <w:r>
        <w:t xml:space="preserve"> </w:t>
      </w:r>
      <w:r>
        <w:t xml:space="preserve">Anbieter, um ihre Schutzrichtlinie umzusetzen oder sich anzupassen</w:t>
      </w:r>
      <w:r>
        <w:t xml:space="preserve"> </w:t>
      </w:r>
      <w:r>
        <w:t xml:space="preserve">Letzteres entsprechend den verfügbaren Mitteln.</w:t>
      </w:r>
    </w:p>
    <w:p>
      <w:pPr>
        <w:pStyle w:val="BodyText"/>
      </w:pPr>
      <w:r>
        <w:t xml:space="preserve">Der Dienstleister verpflichtet sich, den Sponsor im Falle von zu benachrichtigen</w:t>
      </w:r>
      <w:r>
        <w:t xml:space="preserve"> </w:t>
      </w:r>
      <w:r>
        <w:t xml:space="preserve">Kapazitätsbeschränkungen und Beratungsunterstützung für</w:t>
      </w:r>
      <w:r>
        <w:t xml:space="preserve"> </w:t>
      </w:r>
      <w:r>
        <w:t xml:space="preserve">Optimierung von Ressourcen.Die Verpflichtungen des Anbieters sind</w:t>
      </w:r>
      <w:r>
        <w:t xml:space="preserve"> </w:t>
      </w:r>
      <w:r>
        <w:t xml:space="preserve">wird die Umsetzung der vom Sponsor ausdrücklichen Bedürfnisse beschränken</w:t>
      </w:r>
      <w:r>
        <w:t xml:space="preserve"> </w:t>
      </w:r>
      <w:r>
        <w:t xml:space="preserve">In Bezug auf die Schutzrichtlinie im Rahmen des Ressourcenrahmens</w:t>
      </w:r>
      <w:r>
        <w:t xml:space="preserve"> </w:t>
      </w:r>
      <w:r>
        <w:t xml:space="preserve">gezeichnet.</w:t>
      </w:r>
    </w:p>
    <w:bookmarkEnd w:id="34"/>
    <w:bookmarkStart w:id="35" w:name="X209278a2272963b3ae07a82695cc57c07c66e6a"/>
    <w:p>
      <w:pPr>
        <w:pStyle w:val="Heading3"/>
      </w:pPr>
      <w:r>
        <w:t xml:space="preserve">7.2.7.Implementierung von Aktivitäts- oder Aktivitätsschulungslösungen</w:t>
      </w:r>
    </w:p>
    <w:p>
      <w:pPr>
        <w:pStyle w:val="FirstParagraph"/>
      </w:pPr>
      <w:r>
        <w:t xml:space="preserve">Der Dienstleister bietet dem Sponsor alle Lösungen</w:t>
      </w:r>
      <w:r>
        <w:t xml:space="preserve"> </w:t>
      </w:r>
      <w:r>
        <w:t xml:space="preserve">Techniken, die notwendig sind, um eine optimale Verteilung seiner zu gewährleisten</w:t>
      </w:r>
      <w:r>
        <w:t xml:space="preserve"> </w:t>
      </w:r>
      <w:r>
        <w:t xml:space="preserve">Ressourcen durch verschiedene Verfügbarkeitsbereiche.Es liegt in der Verantwortung von</w:t>
      </w:r>
      <w:r>
        <w:t xml:space="preserve"> </w:t>
      </w:r>
      <w:r>
        <w:t xml:space="preserve">Sponsern Sie die Verantwortung, diese Verteilung effektiv zu verwalten</w:t>
      </w:r>
      <w:r>
        <w:t xml:space="preserve"> </w:t>
      </w:r>
      <w:r>
        <w:t xml:space="preserve">von Ressourcen, für die er die Möglichkeit hat, die Tools auszunutzen</w:t>
      </w:r>
      <w:r>
        <w:t xml:space="preserve"> </w:t>
      </w:r>
      <w:r>
        <w:t xml:space="preserve">des für diese Verwendung verfügbaren Anbieter.</w:t>
      </w:r>
    </w:p>
    <w:bookmarkEnd w:id="35"/>
    <w:bookmarkEnd w:id="36"/>
    <w:bookmarkStart w:id="40" w:name="X091a5be388cd518c10f1c1f67dac34b8b600ad2"/>
    <w:p>
      <w:pPr>
        <w:pStyle w:val="Heading2"/>
      </w:pPr>
      <w:r>
        <w:t xml:space="preserve">7.3.Einschränkungen der Dienste im qualifizierten IaaS -Modell</w:t>
      </w:r>
    </w:p>
    <w:bookmarkStart w:id="37" w:name="managed-services-ausführen"/>
    <w:p>
      <w:pPr>
        <w:pStyle w:val="Heading3"/>
      </w:pPr>
      <w:r>
        <w:t xml:space="preserve">7.3.1.Managed Services ausführen</w:t>
      </w:r>
    </w:p>
    <w:p>
      <w:pPr>
        <w:pStyle w:val="FirstParagraph"/>
      </w:pPr>
      <w:r>
        <w:t xml:space="preserve">Es ist wichtig zu beachten, dass der Dienst ausgeschlossen ist:</w:t>
      </w:r>
    </w:p>
    <w:p>
      <w:pPr>
        <w:numPr>
          <w:ilvl w:val="0"/>
          <w:numId w:val="1009"/>
        </w:numPr>
      </w:pPr>
      <w:r>
        <w:t xml:space="preserve">Unterkunft physischer Komponenten des Sponsors;</w:t>
      </w:r>
    </w:p>
    <w:p>
      <w:pPr>
        <w:numPr>
          <w:ilvl w:val="0"/>
          <w:numId w:val="1009"/>
        </w:numPr>
      </w:pPr>
      <w:r>
        <w:t xml:space="preserve">die Netzwerkverbindung der Behörde, das Internet oder</w:t>
      </w:r>
      <w:r>
        <w:t xml:space="preserve"> </w:t>
      </w:r>
      <w:r>
        <w:t xml:space="preserve">private Netzwerke, einschließlich Betreiberverbindungen;</w:t>
      </w:r>
    </w:p>
    <w:p>
      <w:pPr>
        <w:numPr>
          <w:ilvl w:val="0"/>
          <w:numId w:val="1009"/>
        </w:numPr>
      </w:pPr>
      <w:r>
        <w:t xml:space="preserve">jeder verwaltete Typdienst oder TMA;</w:t>
      </w:r>
    </w:p>
    <w:p>
      <w:pPr>
        <w:numPr>
          <w:ilvl w:val="0"/>
          <w:numId w:val="1009"/>
        </w:numPr>
      </w:pPr>
      <w:r>
        <w:t xml:space="preserve">Jede Unterstützung bei virtuellen Maschinen auf Betriebssystemebene und höher</w:t>
      </w:r>
      <w:r>
        <w:t xml:space="preserve"> </w:t>
      </w:r>
      <w:r>
        <w:t xml:space="preserve">im IAA -Haftungsstapel, auch wenn es einfach ist</w:t>
      </w:r>
      <w:r>
        <w:t xml:space="preserve"> </w:t>
      </w:r>
      <w:r>
        <w:t xml:space="preserve">Aufsicht.</w:t>
      </w:r>
    </w:p>
    <w:p>
      <w:pPr>
        <w:pStyle w:val="FirstParagraph"/>
      </w:pPr>
      <w:r>
        <w:t xml:space="preserve">Trotzdem ist es absolut nicht ausgeschlossen, dass der Sponsor hat</w:t>
      </w:r>
      <w:r>
        <w:t xml:space="preserve"> </w:t>
      </w:r>
      <w:r>
        <w:t xml:space="preserve">Nutzung solcher Dienste mit dem MSP -Angebot des Anbieters für</w:t>
      </w:r>
      <w:r>
        <w:t xml:space="preserve"> </w:t>
      </w:r>
      <w:r>
        <w:t xml:space="preserve">Intervention in den Managed Service -Modus in seinen Unterstützern eingreifen.Diese Dienste nicht</w:t>
      </w:r>
      <w:r>
        <w:t xml:space="preserve"> </w:t>
      </w:r>
      <w:r>
        <w:t xml:space="preserve">wird dann nicht durch diese und seine Servicevereinbarung überwacht</w:t>
      </w:r>
      <w:r>
        <w:t xml:space="preserve"> </w:t>
      </w:r>
      <w:r>
        <w:t xml:space="preserve">Überparteiliche Verpflichtungen/Klauseln.</w:t>
      </w:r>
    </w:p>
    <w:bookmarkEnd w:id="37"/>
    <w:bookmarkStart w:id="38" w:name="hilfekonfiguration"/>
    <w:p>
      <w:pPr>
        <w:pStyle w:val="Heading3"/>
      </w:pPr>
      <w:r>
        <w:t xml:space="preserve">7.3.2.Hilfekonfiguration</w:t>
      </w:r>
    </w:p>
    <w:p>
      <w:pPr>
        <w:pStyle w:val="FirstParagraph"/>
      </w:pPr>
      <w:r>
        <w:t xml:space="preserve">Standardmäßig liefert der Dienstanbieter die Implementierung der Ressourcen der</w:t>
      </w:r>
      <w:r>
        <w:t xml:space="preserve"> </w:t>
      </w:r>
      <w:r>
        <w:t xml:space="preserve">IaaS an den Sponsor durch Reservieren von Ressourcen und Konfiguration der</w:t>
      </w:r>
      <w:r>
        <w:t xml:space="preserve"> </w:t>
      </w:r>
      <w:r>
        <w:t xml:space="preserve">Bereitstellungen zur Verwendung von Verfügbarkeitsbereichen.Es liegt in der Verantwortung von</w:t>
      </w:r>
      <w:r>
        <w:t xml:space="preserve"> </w:t>
      </w:r>
      <w:r>
        <w:t xml:space="preserve">Sponsor, um die Verfügbarkeitszonen über die Schnittstelle auszuwählen</w:t>
      </w:r>
      <w:r>
        <w:t xml:space="preserve"> </w:t>
      </w:r>
      <w:r>
        <w:t xml:space="preserve">Sponsor.</w:t>
      </w:r>
    </w:p>
    <w:bookmarkEnd w:id="38"/>
    <w:bookmarkStart w:id="39" w:name="konfiguration-der-sicherung"/>
    <w:p>
      <w:pPr>
        <w:pStyle w:val="Heading3"/>
      </w:pPr>
      <w:r>
        <w:t xml:space="preserve">7.3.3.Konfiguration der Sicherung</w:t>
      </w:r>
    </w:p>
    <w:p>
      <w:pPr>
        <w:pStyle w:val="FirstParagraph"/>
      </w:pPr>
      <w:r>
        <w:t xml:space="preserve">Die Sicherungsleistung stoppt bei der Sicherung der Maschinen</w:t>
      </w:r>
      <w:r>
        <w:t xml:space="preserve"> </w:t>
      </w:r>
      <w:r>
        <w:t xml:space="preserve">Virtuale und Topologiekonfigurationen darstellen</w:t>
      </w:r>
      <w:r>
        <w:t xml:space="preserve"> </w:t>
      </w:r>
      <w:r>
        <w:t xml:space="preserve">Die IaaS -Umgebung der Sponsoren des Sponsors als Teil der</w:t>
      </w:r>
      <w:r>
        <w:t xml:space="preserve"> </w:t>
      </w:r>
      <w:r>
        <w:t xml:space="preserve">Service.</w:t>
      </w:r>
    </w:p>
    <w:p>
      <w:pPr>
        <w:pStyle w:val="BodyText"/>
      </w:pPr>
      <w:r>
        <w:t xml:space="preserve">Der Schutzdienst und den Abschluss der Richtlinie von</w:t>
      </w:r>
      <w:r>
        <w:t xml:space="preserve"> </w:t>
      </w:r>
      <w:r>
        <w:t xml:space="preserve">Die Sicherung des Sponsors unterliegt dem Abonnement des Raums von</w:t>
      </w:r>
      <w:r>
        <w:t xml:space="preserve"> </w:t>
      </w:r>
      <w:r>
        <w:t xml:space="preserve">Massenspeicher erforderlich, um Service zu erbringen.Er ist</w:t>
      </w:r>
      <w:r>
        <w:t xml:space="preserve"> </w:t>
      </w:r>
      <w:r>
        <w:t xml:space="preserve">deshalb von der Verantwortung des Sponsors, die zu abonnieren</w:t>
      </w:r>
      <w:r>
        <w:t xml:space="preserve"> </w:t>
      </w:r>
      <w:r>
        <w:t xml:space="preserve">Anbieter die technischen Mittel, die erforderlich sind, um die Richtlinie zu gewährleisten</w:t>
      </w:r>
      <w:r>
        <w:t xml:space="preserve"> </w:t>
      </w:r>
      <w:r>
        <w:t xml:space="preserve">Sicherung des Computerumfangs oder Anpassung der Richtlinie</w:t>
      </w:r>
      <w:r>
        <w:t xml:space="preserve"> </w:t>
      </w:r>
      <w:r>
        <w:t xml:space="preserve">Sicherung der implementierten Mittel.Der Dienstleister verpflichtet sich an</w:t>
      </w:r>
      <w:r>
        <w:t xml:space="preserve"> </w:t>
      </w:r>
      <w:r>
        <w:t xml:space="preserve">Informieren Sie den Sponsor im Falle einer technischen Kapazitätsgrenze.</w:t>
      </w:r>
    </w:p>
    <w:p>
      <w:pPr>
        <w:pStyle w:val="BodyText"/>
      </w:pPr>
      <w:r>
        <w:t xml:space="preserve">Der Anbieter wird technische und menschliche Mittel einrichten</w:t>
      </w:r>
      <w:r>
        <w:t xml:space="preserve"> </w:t>
      </w:r>
      <w:r>
        <w:t xml:space="preserve">notwendig, um das System zu retten, das innerhalb der Grenzen von gehostet wird</w:t>
      </w:r>
      <w:r>
        <w:t xml:space="preserve"> </w:t>
      </w:r>
      <w:r>
        <w:t xml:space="preserve">vom Sponsor abonnierte Ressourcen.</w:t>
      </w:r>
      <w:r>
        <w:t xml:space="preserve"> </w:t>
      </w:r>
      <w:r>
        <w:t xml:space="preserve">Darüber hinaus im Falle von Umkäufern, die nicht von der gestützt werden</w:t>
      </w:r>
      <w:r>
        <w:t xml:space="preserve"> </w:t>
      </w:r>
      <w:r>
        <w:t xml:space="preserve">Anbieter, es liegt an dem Sponsor, seine eigenen zu definieren</w:t>
      </w:r>
      <w:r>
        <w:t xml:space="preserve"> </w:t>
      </w:r>
      <w:r>
        <w:t xml:space="preserve">Sicherung der Strategie und selbst konfigurieren Sie VM -Backups</w:t>
      </w:r>
      <w:r>
        <w:t xml:space="preserve"> </w:t>
      </w:r>
      <w:r>
        <w:t xml:space="preserve">oder beantragen Sie einen Dienst vom Dienstanbieter für die</w:t>
      </w:r>
      <w:r>
        <w:t xml:space="preserve"> </w:t>
      </w:r>
      <w:r>
        <w:t xml:space="preserve">Die Konfiguration von Sicherungen für physikalische Server wird eingegeben</w:t>
      </w:r>
      <w:r>
        <w:t xml:space="preserve"> </w:t>
      </w:r>
      <w:r>
        <w:t xml:space="preserve">Ort, wenn der Sponsor einen verwalteten Servicevertrag hat</w:t>
      </w:r>
      <w:r>
        <w:t xml:space="preserve"> </w:t>
      </w:r>
      <w:r>
        <w:t xml:space="preserve">Ermöglicht dem Anbieter, über die Sponsor -Schnittstelle zu handeln, die ist</w:t>
      </w:r>
      <w:r>
        <w:t xml:space="preserve"> </w:t>
      </w:r>
      <w:r>
        <w:t xml:space="preserve">die Verwaltungskonsole, die im Rahmen von Rahmen zur Verfügung gestellt wird</w:t>
      </w:r>
      <w:r>
        <w:t xml:space="preserve"> </w:t>
      </w:r>
      <w:r>
        <w:t xml:space="preserve">diese Servicevereinbarung und die Funktionen für</w:t>
      </w:r>
      <w:r>
        <w:t xml:space="preserve"> </w:t>
      </w:r>
      <w:r>
        <w:t xml:space="preserve">Backups konfigurieren.</w:t>
      </w:r>
    </w:p>
    <w:p>
      <w:pPr>
        <w:pStyle w:val="BodyText"/>
      </w:pPr>
      <w:r>
        <w:t xml:space="preserve">Darüber hinaus wird dieser Service nur eine Verpflichtung haben, sich in die zu übersetzen</w:t>
      </w:r>
      <w:r>
        <w:t xml:space="preserve"> </w:t>
      </w:r>
      <w:r>
        <w:t xml:space="preserve">Konfiguration über die Sponsor -Schnittstelle, die angegebene Konfiguration</w:t>
      </w:r>
      <w:r>
        <w:t xml:space="preserve"> </w:t>
      </w:r>
      <w:r>
        <w:t xml:space="preserve">Klar durch den Sponsor.</w:t>
      </w:r>
    </w:p>
    <w:p>
      <w:pPr>
        <w:pStyle w:val="BodyText"/>
      </w:pPr>
      <w:r>
        <w:t xml:space="preserve">Aus Gründen der Flexibilität des Angebots des Anbieters, die</w:t>
      </w:r>
      <w:r>
        <w:t xml:space="preserve"> </w:t>
      </w:r>
      <w:r>
        <w:t xml:space="preserve">Der Sponsor hat die Möglichkeit, eine Nicht-Urlaubs-Richtlinie zu assoziieren</w:t>
      </w:r>
      <w:r>
        <w:t xml:space="preserve"> </w:t>
      </w:r>
      <w:r>
        <w:t xml:space="preserve">Einige seiner VMs.In diesem Fall gehört es zum Sponsor</w:t>
      </w:r>
      <w:r>
        <w:t xml:space="preserve"> </w:t>
      </w:r>
      <w:r>
        <w:t xml:space="preserve">diese Wahl anzunehmen.Der Dienstleister schützt die zugehörigen VMs nicht</w:t>
      </w:r>
      <w:r>
        <w:t xml:space="preserve"> </w:t>
      </w:r>
      <w:r>
        <w:t xml:space="preserve">zur Politik  </w:t>
      </w:r>
      <w:r>
        <w:t xml:space="preserve">“kein Backup ".Der Dienstanbieter benachrichtigt den Sponsor, dass</w:t>
      </w:r>
      <w:r>
        <w:t xml:space="preserve"> </w:t>
      </w:r>
      <w:r>
        <w:t xml:space="preserve">Wählen Sie die  ”</w:t>
      </w:r>
      <w:r>
        <w:t xml:space="preserve">Keine Sicherung” -Richtlinie oder zum Speichern</w:t>
      </w:r>
      <w:r>
        <w:t xml:space="preserve"> </w:t>
      </w:r>
      <w:r>
        <w:t xml:space="preserve">Setzt den Sponsor manuell einem endgültigen Datenverlust aus</w:t>
      </w:r>
      <w:r>
        <w:t xml:space="preserve"> </w:t>
      </w:r>
      <w:r>
        <w:t xml:space="preserve">Im Falle eines Vorfalls auf den niedrigen Schichten oder auf den von den Schichten abhängigen Schichten</w:t>
      </w:r>
      <w:r>
        <w:t xml:space="preserve"> </w:t>
      </w:r>
      <w:r>
        <w:t xml:space="preserve">seine Verantwortung im IaaS -Modell.In einem solchen Fall wird es sein</w:t>
      </w:r>
      <w:r>
        <w:t xml:space="preserve"> </w:t>
      </w:r>
      <w:r>
        <w:t xml:space="preserve">Es ist unmöglich, den verantwortlichen Dienstanbieter für die Wiederherstellung von Daten zu halten</w:t>
      </w:r>
      <w:r>
        <w:t xml:space="preserve"> </w:t>
      </w:r>
      <w:r>
        <w:t xml:space="preserve">Weil es nichts wiederherstellen wird.Der Anbieter empfiehlt immer</w:t>
      </w:r>
      <w:r>
        <w:t xml:space="preserve"> </w:t>
      </w:r>
      <w:r>
        <w:t xml:space="preserve">Speichern Sie die VMs.</w:t>
      </w:r>
    </w:p>
    <w:p>
      <w:pPr>
        <w:pStyle w:val="BodyText"/>
      </w:pPr>
      <w:r>
        <w:t xml:space="preserve">Für jedes Thema über das auf einer virtuelle Maschine installierte Betriebssystem und</w:t>
      </w:r>
      <w:r>
        <w:t xml:space="preserve"> </w:t>
      </w:r>
      <w:r>
        <w:t xml:space="preserve">jede Software oder jedes Programm, das</w:t>
      </w:r>
      <w:r>
        <w:t xml:space="preserve"> </w:t>
      </w:r>
      <w:r>
        <w:t xml:space="preserve">“über den Knochen”</w:t>
      </w:r>
      <w:r>
        <w:t xml:space="preserve"> </w:t>
      </w:r>
      <w:r>
        <w:t xml:space="preserve">ausgeführt wird, ist es</w:t>
      </w:r>
      <w:r>
        <w:t xml:space="preserve"> </w:t>
      </w:r>
      <w:r>
        <w:t xml:space="preserve">Haftung des Sponsors für die Durchführung von Operationen</w:t>
      </w:r>
      <w:r>
        <w:t xml:space="preserve"> </w:t>
      </w:r>
      <w:r>
        <w:t xml:space="preserve">Verwaltung und Aufsicht innerhalb der Europäischen Union, wenn</w:t>
      </w:r>
      <w:r>
        <w:t xml:space="preserve"> </w:t>
      </w:r>
      <w:r>
        <w:t xml:space="preserve">möchte garantieren, dass die gesamte Vertikalität der Windeln der IS ist</w:t>
      </w:r>
      <w:r>
        <w:t xml:space="preserve"> </w:t>
      </w:r>
      <w:r>
        <w:t xml:space="preserve">betrieben und aus der Europäischen Union verwaltet.Operationen</w:t>
      </w:r>
      <w:r>
        <w:t xml:space="preserve"> </w:t>
      </w:r>
      <w:r>
        <w:t xml:space="preserve">Verwaltung außerhalb des Serviceumfangs des Dienstleisters in</w:t>
      </w:r>
      <w:r>
        <w:t xml:space="preserve"> </w:t>
      </w:r>
      <w:r>
        <w:t xml:space="preserve">Der Rahmen dieser Servicevereinbarung, die in der angegeben ist</w:t>
      </w:r>
      <w:r>
        <w:t xml:space="preserve"> </w:t>
      </w:r>
      <w:r>
        <w:t xml:space="preserve">Abschnitt</w:t>
      </w:r>
      <w:r>
        <w:t xml:space="preserve"> </w:t>
      </w:r>
      <w:r>
        <w:t xml:space="preserve">“Shared Responsibility Model”</w:t>
      </w:r>
      <w:r>
        <w:t xml:space="preserve"> </w:t>
      </w:r>
      <w:r>
        <w:t xml:space="preserve">davon</w:t>
      </w:r>
      <w:r>
        <w:t xml:space="preserve"> </w:t>
      </w:r>
      <w:r>
        <w:t xml:space="preserve">Servicekonventionen.</w:t>
      </w:r>
    </w:p>
    <w:bookmarkEnd w:id="39"/>
    <w:bookmarkEnd w:id="40"/>
    <w:bookmarkStart w:id="42" w:name="implementierung-des-dienstes"/>
    <w:p>
      <w:pPr>
        <w:pStyle w:val="Heading2"/>
      </w:pPr>
      <w:r>
        <w:t xml:space="preserve">7.4.Implementierung des Dienstes</w:t>
      </w:r>
    </w:p>
    <w:bookmarkStart w:id="41" w:name="technische-voraussetzungen"/>
    <w:p>
      <w:pPr>
        <w:pStyle w:val="Heading3"/>
      </w:pPr>
      <w:r>
        <w:t xml:space="preserve">7.4.1.Technische Voraussetzungen</w:t>
      </w:r>
    </w:p>
    <w:p>
      <w:pPr>
        <w:pStyle w:val="FirstParagraph"/>
      </w:pPr>
      <w:r>
        <w:t xml:space="preserve">Für die Implementierung des Dienstes räumt der Sponsor ein, dass er muss</w:t>
      </w:r>
      <w:r>
        <w:t xml:space="preserve"> </w:t>
      </w:r>
      <w:r>
        <w:t xml:space="preserve">::</w:t>
      </w:r>
      <w:r>
        <w:t xml:space="preserve"> </w:t>
      </w:r>
      <w:r>
        <w:t xml:space="preserve">- Betrieb mit VMware -Typ -Virtualisierung in den Versionen</w:t>
      </w:r>
      <w:r>
        <w:t xml:space="preserve"> </w:t>
      </w:r>
      <w:r>
        <w:t xml:space="preserve">vom Verlag unterstützt und vom Dienstleister als Teil zur Verfügung gestellt</w:t>
      </w:r>
      <w:r>
        <w:t xml:space="preserve"> </w:t>
      </w:r>
      <w:r>
        <w:t xml:space="preserve">Service;</w:t>
      </w:r>
    </w:p>
    <w:p>
      <w:pPr>
        <w:numPr>
          <w:ilvl w:val="0"/>
          <w:numId w:val="1010"/>
        </w:numPr>
      </w:pPr>
      <w:r>
        <w:t xml:space="preserve">Verwenden Sie über den Dienstanbieter, um das Backup -Tool zu verwenden.</w:t>
      </w:r>
    </w:p>
    <w:p>
      <w:pPr>
        <w:numPr>
          <w:ilvl w:val="0"/>
          <w:numId w:val="1010"/>
        </w:numPr>
      </w:pPr>
      <w:r>
        <w:t xml:space="preserve">Deklarieren Sie feste IPs, aus denen der Dienstleister es genehmigen wird</w:t>
      </w:r>
      <w:r>
        <w:t xml:space="preserve"> </w:t>
      </w:r>
      <w:r>
        <w:t xml:space="preserve">Greifen Sie auf die Sponsor -Schnittstelle zu (Filterung nach White List).DER</w:t>
      </w:r>
      <w:r>
        <w:t xml:space="preserve"> </w:t>
      </w:r>
      <w:r>
        <w:t xml:space="preserve">Änderungen in dieser IP -Liste müssen über das Menü vorgenommen werden</w:t>
      </w:r>
      <w:r>
        <w:t xml:space="preserve"> </w:t>
      </w:r>
      <w:r>
        <w:t xml:space="preserve">für diesen Zweck in der Konsole oder über Serviceanfragen für bereitgestellt</w:t>
      </w:r>
      <w:r>
        <w:t xml:space="preserve"> </w:t>
      </w:r>
      <w:r>
        <w:t xml:space="preserve">nachfolgende Änderungen.Bei der Initialisierung des Dienstes die</w:t>
      </w:r>
      <w:r>
        <w:t xml:space="preserve"> </w:t>
      </w:r>
      <w:r>
        <w:t xml:space="preserve">Der Anbieter wird mindestens mindestens 1 IP -Adresse wie z.</w:t>
      </w:r>
      <w:r>
        <w:t xml:space="preserve"> </w:t>
      </w:r>
      <w:r>
        <w:t xml:space="preserve">das beschrieben.</w:t>
      </w:r>
    </w:p>
    <w:bookmarkEnd w:id="41"/>
    <w:bookmarkEnd w:id="42"/>
    <w:bookmarkStart w:id="45" w:name="standort-des-dienstes-in-frankreich"/>
    <w:p>
      <w:pPr>
        <w:pStyle w:val="Heading2"/>
      </w:pPr>
      <w:r>
        <w:t xml:space="preserve">7.5.Standort des Dienstes in Frankreich</w:t>
      </w:r>
    </w:p>
    <w:p>
      <w:pPr>
        <w:pStyle w:val="FirstParagraph"/>
      </w:pPr>
      <w:r>
        <w:t xml:space="preserve">Es ist angegeben, dass keiner der Operationen und keine der Komponenten</w:t>
      </w:r>
      <w:r>
        <w:t xml:space="preserve"> </w:t>
      </w:r>
      <w:r>
        <w:t xml:space="preserve">physisch in die Bereitstellung des Dienstes beteiligt, von dem</w:t>
      </w:r>
      <w:r>
        <w:t xml:space="preserve"> </w:t>
      </w:r>
      <w:r>
        <w:t xml:space="preserve">Servicevereinbarung ist das Thema, nicht außerhalb der Gewerkschaft.</w:t>
      </w:r>
      <w:r>
        <w:t xml:space="preserve"> </w:t>
      </w:r>
      <w:r>
        <w:t xml:space="preserve">Europäisch.</w:t>
      </w:r>
      <w:r>
        <w:t xml:space="preserve"> </w:t>
      </w:r>
      <w:r>
        <w:t xml:space="preserve">Cela inclut notamment le support, la supervision opérationnelle et la</w:t>
      </w:r>
      <w:r>
        <w:t xml:space="preserve"> </w:t>
      </w:r>
      <w:r>
        <w:t xml:space="preserve">supervision de sécurité (SOC) de l’infrastructure technique délivrant le</w:t>
      </w:r>
      <w:r>
        <w:t xml:space="preserve"> </w:t>
      </w:r>
      <w:r>
        <w:t xml:space="preserve">Service. De fait, tout le stockage, toutes les tâches d’administration,</w:t>
      </w:r>
      <w:r>
        <w:t xml:space="preserve"> </w:t>
      </w:r>
      <w:r>
        <w:t xml:space="preserve">de supervision et tous les traitements sont réalisés en France.</w:t>
      </w:r>
    </w:p>
    <w:bookmarkStart w:id="43" w:name="X358a959b68a879fe663da06a4d99c07c64aaa14"/>
    <w:p>
      <w:pPr>
        <w:pStyle w:val="Heading3"/>
      </w:pPr>
      <w:r>
        <w:t xml:space="preserve">7.5.1. Localisation des Datacenters hébergeant le Service</w:t>
      </w:r>
    </w:p>
    <w:p>
      <w:pPr>
        <w:pStyle w:val="FirstParagraph"/>
      </w:pPr>
      <w:r>
        <w:t xml:space="preserve">A défaut des opérations des collaborateurs et des agences du</w:t>
      </w:r>
      <w:r>
        <w:t xml:space="preserve"> </w:t>
      </w:r>
      <w:r>
        <w:t xml:space="preserve">Prestataire, l’ensemble des opérations de production (comprenant le</w:t>
      </w:r>
      <w:r>
        <w:t xml:space="preserve"> </w:t>
      </w:r>
      <w:r>
        <w:t xml:space="preserve">Speicher und Datenverarbeitung) und technische Komponenten</w:t>
      </w:r>
      <w:r>
        <w:t xml:space="preserve"> </w:t>
      </w:r>
      <w:r>
        <w:t xml:space="preserve">Die Lieferung des Dienstes befindet sich in den in Frankreich ansässigen Rechenzentren.</w:t>
      </w:r>
    </w:p>
    <w:bookmarkEnd w:id="43"/>
    <w:bookmarkStart w:id="44" w:name="Xf19887c5ccd31171f98663d0732fffe342133ef"/>
    <w:p>
      <w:pPr>
        <w:pStyle w:val="Heading3"/>
      </w:pPr>
      <w:r>
        <w:t xml:space="preserve">7.5.2.Standort von Cloud -Tempelagenturen, die den Dienst betreiben</w:t>
      </w:r>
    </w:p>
    <w:p>
      <w:pPr>
        <w:pStyle w:val="FirstParagraph"/>
      </w:pPr>
      <w:r>
        <w:t xml:space="preserve">Mitarbeiter des Cloud -Tempels, die am Umfang beteiligt sind</w:t>
      </w:r>
      <w:r>
        <w:t xml:space="preserve"> </w:t>
      </w:r>
      <w:r>
        <w:t xml:space="preserve">Duservice arbeitet von den Cloud -Tempelagenturen aus, die sich alle befinden</w:t>
      </w:r>
      <w:r>
        <w:t xml:space="preserve"> </w:t>
      </w:r>
      <w:r>
        <w:t xml:space="preserve">ausschließlich in Frankreich.Diese Agenturen befinden sich in Frankreich, in Touren.</w:t>
      </w:r>
      <w:r>
        <w:t xml:space="preserve"> </w:t>
      </w:r>
      <w:r>
        <w:t xml:space="preserve">Lyon, Caen und Paris la Défense.</w:t>
      </w:r>
      <w:r>
        <w:t xml:space="preserve"> </w:t>
      </w:r>
      <w:r>
        <w:t xml:space="preserve">Der Sponsor wird über die Möglichkeit von Cloud -Mitarbeitern informiert</w:t>
      </w:r>
      <w:r>
        <w:t xml:space="preserve"> </w:t>
      </w:r>
      <w:r>
        <w:t xml:space="preserve">Tempel, um aus der Ferne zu arbeiten.Der Dienstleister garantiert jedoch die</w:t>
      </w:r>
      <w:r>
        <w:t xml:space="preserve"> </w:t>
      </w:r>
      <w:r>
        <w:t xml:space="preserve">Insbesondere das gleiche Sicherheitsniveau bezüglich des Fernzugriffs</w:t>
      </w:r>
      <w:r>
        <w:t xml:space="preserve"> </w:t>
      </w:r>
      <w:r>
        <w:t xml:space="preserve">Bezüglich VPN -Zugriff.Dieser Fernzugriff wird implementiert</w:t>
      </w:r>
      <w:r>
        <w:t xml:space="preserve"> </w:t>
      </w:r>
      <w:r>
        <w:t xml:space="preserve">Gemäß den Anforderungen des Secnumcloud -Standards.</w:t>
      </w:r>
    </w:p>
    <w:bookmarkEnd w:id="44"/>
    <w:bookmarkEnd w:id="45"/>
    <w:bookmarkStart w:id="52" w:name="unterstützung"/>
    <w:p>
      <w:pPr>
        <w:pStyle w:val="Heading2"/>
      </w:pPr>
      <w:r>
        <w:t xml:space="preserve">7.6.Unterstützung</w:t>
      </w:r>
    </w:p>
    <w:bookmarkStart w:id="46" w:name="X05d39cde3651b85ef71d29f0c39ef546ec5b220"/>
    <w:p>
      <w:pPr>
        <w:pStyle w:val="Heading3"/>
      </w:pPr>
      <w:r>
        <w:t xml:space="preserve">7.6.1.Art der Unterstützung, die den Dienst begleitet</w:t>
      </w:r>
    </w:p>
    <w:p>
      <w:pPr>
        <w:pStyle w:val="FirstParagraph"/>
      </w:pPr>
      <w:r>
        <w:t xml:space="preserve">Der Dienstleister bietet einen technischen Support -Service für Unterstützung</w:t>
      </w:r>
      <w:r>
        <w:t xml:space="preserve"> </w:t>
      </w:r>
      <w:r>
        <w:t xml:space="preserve">Der Sponsor im Management, Fehlerbehebung und Optimierung von</w:t>
      </w:r>
      <w:r>
        <w:t xml:space="preserve"> </w:t>
      </w:r>
      <w:r>
        <w:t xml:space="preserve">ihre Ressourcen eingesetzt.Dieser Service deckt einen erweiterten Bereich ab</w:t>
      </w:r>
      <w:r>
        <w:t xml:space="preserve"> </w:t>
      </w:r>
      <w:r>
        <w:t xml:space="preserve">von Aktivitäten, da die anfängliche Konfiguration von Diensten unterstützt wird</w:t>
      </w:r>
      <w:r>
        <w:t xml:space="preserve"> </w:t>
      </w:r>
      <w:r>
        <w:t xml:space="preserve">Bis fortschrittliche technische Unterstützung zur Lösung von Problemen</w:t>
      </w:r>
      <w:r>
        <w:t xml:space="preserve"> </w:t>
      </w:r>
      <w:r>
        <w:t xml:space="preserve">spezifisch.</w:t>
      </w:r>
    </w:p>
    <w:p>
      <w:pPr>
        <w:pStyle w:val="BodyText"/>
      </w:pPr>
      <w:r>
        <w:t xml:space="preserve">Hier finden Sie eine Beschreibung der Eigenschaften und Funktionen des Dienstes</w:t>
      </w:r>
      <w:r>
        <w:t xml:space="preserve"> </w:t>
      </w:r>
      <w:r>
        <w:t xml:space="preserve">Unterstützung:</w:t>
      </w:r>
    </w:p>
    <w:p>
      <w:pPr>
        <w:pStyle w:val="Compact"/>
        <w:numPr>
          <w:ilvl w:val="0"/>
          <w:numId w:val="1011"/>
        </w:numPr>
      </w:pPr>
      <w:r>
        <w:t xml:space="preserve">Unterstützung bei der ersten Implementierung der Nutzung des Dienstes;</w:t>
      </w:r>
    </w:p>
    <w:p>
      <w:pPr>
        <w:pStyle w:val="Compact"/>
        <w:numPr>
          <w:ilvl w:val="0"/>
          <w:numId w:val="1011"/>
        </w:numPr>
      </w:pPr>
      <w:r>
        <w:t xml:space="preserve">Unterstützung bei der Lösung von Vorfällen;</w:t>
      </w:r>
    </w:p>
    <w:p>
      <w:pPr>
        <w:pStyle w:val="Compact"/>
        <w:numPr>
          <w:ilvl w:val="0"/>
          <w:numId w:val="1011"/>
        </w:numPr>
      </w:pPr>
      <w:r>
        <w:t xml:space="preserve">Hilfsmittel für Problemlösung;</w:t>
      </w:r>
    </w:p>
    <w:p>
      <w:pPr>
        <w:pStyle w:val="Compact"/>
        <w:numPr>
          <w:ilvl w:val="0"/>
          <w:numId w:val="1011"/>
        </w:numPr>
      </w:pPr>
      <w:r>
        <w:t xml:space="preserve">Überwachung und Beratung zur Optimierung der technischen Basis.</w:t>
      </w:r>
    </w:p>
    <w:p>
      <w:pPr>
        <w:pStyle w:val="FirstParagraph"/>
      </w:pPr>
      <w:r>
        <w:t xml:space="preserve">Als Teil des Support -Service ersetzt der Anbieter nicht</w:t>
      </w:r>
      <w:r>
        <w:t xml:space="preserve"> </w:t>
      </w:r>
      <w:r>
        <w:t xml:space="preserve">an den Sponsor in der Nutzung des Dienstes.Der Sponsor bleibt</w:t>
      </w:r>
      <w:r>
        <w:t xml:space="preserve"> </w:t>
      </w:r>
      <w:r>
        <w:t xml:space="preserve">völlig verantwortlich für die Konfiguration, die Ausbeutung seiner VM</w:t>
      </w:r>
      <w:r>
        <w:t xml:space="preserve"> </w:t>
      </w:r>
      <w:r>
        <w:t xml:space="preserve">und seine Befürworter und die Verwaltung aller Elemente (Daten und</w:t>
      </w:r>
      <w:r>
        <w:t xml:space="preserve"> </w:t>
      </w:r>
      <w:r>
        <w:t xml:space="preserve">Anträge enthalten), die er aufbewahrte oder installierte</w:t>
      </w:r>
      <w:r>
        <w:t xml:space="preserve"> </w:t>
      </w:r>
      <w:r>
        <w:t xml:space="preserve">Infrastruktur des Anbieters.Der technische Support -Service ist</w:t>
      </w:r>
      <w:r>
        <w:t xml:space="preserve"> </w:t>
      </w:r>
      <w:r>
        <w:t xml:space="preserve">in Übereinstimmung mit den allgemeinen Verkaufsbedingungen und zur Verfügung gestellt</w:t>
      </w:r>
      <w:r>
        <w:t xml:space="preserve"> </w:t>
      </w:r>
      <w:r>
        <w:t xml:space="preserve">Der Dienstleister ist an eine Verpflichtung von Mitteln gebunden.</w:t>
      </w:r>
    </w:p>
    <w:p>
      <w:pPr>
        <w:pStyle w:val="BodyText"/>
      </w:pPr>
      <w:r>
        <w:t xml:space="preserve">Der Sponsor verpflichtet sich, den technischen Support -Service von zu nutzen</w:t>
      </w:r>
      <w:r>
        <w:t xml:space="preserve"> </w:t>
      </w:r>
      <w:r>
        <w:t xml:space="preserve">Angemessener Weg, insbesondere die Einhaltung von Werbediensten</w:t>
      </w:r>
      <w:r>
        <w:t xml:space="preserve"> </w:t>
      </w:r>
      <w:r>
        <w:t xml:space="preserve">Nicht dem Dienstleister abonniert und die Teams einbezogen</w:t>
      </w:r>
      <w:r>
        <w:t xml:space="preserve"> </w:t>
      </w:r>
      <w:r>
        <w:t xml:space="preserve">vom Dienstleister bis zu seinen eigenen Kunden oder Dritten, die nicht enthalten sind</w:t>
      </w:r>
      <w:r>
        <w:t xml:space="preserve"> </w:t>
      </w:r>
      <w:r>
        <w:t xml:space="preserve">Der Vertrag.Der Dienstleister behält sich das Recht vor, eine Anfrage abzulehnen</w:t>
      </w:r>
      <w:r>
        <w:t xml:space="preserve"> </w:t>
      </w:r>
      <w:r>
        <w:t xml:space="preserve">des Dienstes, der diese Kriterien nicht respektiert.</w:t>
      </w:r>
    </w:p>
    <w:p>
      <w:pPr>
        <w:pStyle w:val="BodyText"/>
      </w:pPr>
      <w:r>
        <w:t xml:space="preserve">Das Ausmaß der Unterstützung der Unterstützung hängt vom Abonnement von ab</w:t>
      </w:r>
      <w:r>
        <w:t xml:space="preserve"> </w:t>
      </w:r>
      <w:r>
        <w:t xml:space="preserve">Assoziierte Unterstützungsarbeitseinheiten.</w:t>
      </w:r>
    </w:p>
    <w:bookmarkEnd w:id="46"/>
    <w:bookmarkStart w:id="47" w:name="X92ae3c0f09457c2d96df03dabc9c3db71aee7d4"/>
    <w:p>
      <w:pPr>
        <w:pStyle w:val="Heading3"/>
      </w:pPr>
      <w:r>
        <w:t xml:space="preserve">7.6.2.Aufforderung zum technischen Support -Service</w:t>
      </w:r>
    </w:p>
    <w:p>
      <w:pPr>
        <w:pStyle w:val="FirstParagraph"/>
      </w:pPr>
      <w:r>
        <w:t xml:space="preserve">Der technische Support ist über ein Ticketsystem zugänglich</w:t>
      </w:r>
      <w:r>
        <w:t xml:space="preserve"> </w:t>
      </w:r>
      <w:r>
        <w:t xml:space="preserve">über die Sponsorkonsole und ist während der Stunden erhältlich</w:t>
      </w:r>
      <w:r>
        <w:t xml:space="preserve"> </w:t>
      </w:r>
      <w:r>
        <w:t xml:space="preserve">Normale Büro normale Feiertage (8.00 bis 18.00 Uhr; Montag - Freitag;</w:t>
      </w:r>
      <w:r>
        <w:t xml:space="preserve"> </w:t>
      </w:r>
      <w:r>
        <w:t xml:space="preserve">Französischer Kalender und Zeitpläne).Für Notfälle, die außerhalb von außen auftreten</w:t>
      </w:r>
      <w:r>
        <w:t xml:space="preserve"> </w:t>
      </w:r>
      <w:r>
        <w:t xml:space="preserve">Arbeitszeiten, einschließlich erheblicher Auswirkungen auf Vorfälle</w:t>
      </w:r>
      <w:r>
        <w:t xml:space="preserve"> </w:t>
      </w:r>
      <w:r>
        <w:t xml:space="preserve">Produktion kann der Ein -Call -Service über eine Zahl beigefügt werden</w:t>
      </w:r>
      <w:r>
        <w:t xml:space="preserve"> </w:t>
      </w:r>
      <w:r>
        <w:t xml:space="preserve">Mit der Initialisierung des Dienstes an den Sponsor übertragen.</w:t>
      </w:r>
    </w:p>
    <w:p>
      <w:pPr>
        <w:pStyle w:val="BodyText"/>
      </w:pPr>
      <w:r>
        <w:t xml:space="preserve">Für jede Anfrage oder jeden Vorfall ist es unerlässlich, ein Ticket zu generieren</w:t>
      </w:r>
      <w:r>
        <w:t xml:space="preserve"> </w:t>
      </w:r>
      <w:r>
        <w:t xml:space="preserve">Mit Unterstützung des Dienstleisters.Die Initialisierung dieses Tickets,</w:t>
      </w:r>
      <w:r>
        <w:t xml:space="preserve"> </w:t>
      </w:r>
      <w:r>
        <w:t xml:space="preserve">Einschließlich aller notwendigen Informationen, ist unerlässlich und</w:t>
      </w:r>
      <w:r>
        <w:t xml:space="preserve"> </w:t>
      </w:r>
      <w:r>
        <w:t xml:space="preserve">markiert den Beginn der Bewertung der Verpflichtungen des Anbieters.</w:t>
      </w:r>
    </w:p>
    <w:p>
      <w:pPr>
        <w:pStyle w:val="BodyText"/>
      </w:pPr>
      <w:r>
        <w:t xml:space="preserve">Sobald der Dienstleister eine Anfrage oder eine Benachrichtigung erhält</w:t>
      </w:r>
      <w:r>
        <w:t xml:space="preserve"> </w:t>
      </w:r>
      <w:r>
        <w:t xml:space="preserve">Vorfall, sei es durch die Verwaltungskonsole oder</w:t>
      </w:r>
      <w:r>
        <w:t xml:space="preserve"> </w:t>
      </w:r>
      <w:r>
        <w:t xml:space="preserve">Nach einem Anruf wird automatisch ein Ticket erstellt.Während</w:t>
      </w:r>
      <w:r>
        <w:t xml:space="preserve"> </w:t>
      </w:r>
      <w:r>
        <w:t xml:space="preserve">Von der Erklärung eines Vorfalls ist es wichtig, dass der Sponsor der Sponsor</w:t>
      </w:r>
      <w:r>
        <w:t xml:space="preserve"> </w:t>
      </w:r>
      <w:r>
        <w:t xml:space="preserve">Bietet dem Anbieter so viele Details zu dem Problem</w:t>
      </w:r>
      <w:r>
        <w:t xml:space="preserve"> </w:t>
      </w:r>
      <w:r>
        <w:t xml:space="preserve">begegnen.Dies ist entscheidend, um eine Bewertung zu ermöglichen</w:t>
      </w:r>
      <w:r>
        <w:t xml:space="preserve"> </w:t>
      </w:r>
      <w:r>
        <w:t xml:space="preserve">adéquate de la situation, sa priorisation et un diagnostic efficace.</w:t>
      </w:r>
    </w:p>
    <w:p>
      <w:pPr>
        <w:pStyle w:val="BodyText"/>
      </w:pPr>
      <w:r>
        <w:t xml:space="preserve">Le COMMANDITAIRE reçoit alors une confirmation par courriel, indiquant</w:t>
      </w:r>
      <w:r>
        <w:t xml:space="preserve"> </w:t>
      </w:r>
      <w:r>
        <w:t xml:space="preserve">la création du ticket et son numéro unique. Le COMMANDITAIRE peut</w:t>
      </w:r>
      <w:r>
        <w:t xml:space="preserve"> </w:t>
      </w:r>
      <w:r>
        <w:t xml:space="preserve">consulter le statut et l’historique de ses demandes et déclarations</w:t>
      </w:r>
      <w:r>
        <w:t xml:space="preserve"> </w:t>
      </w:r>
      <w:r>
        <w:t xml:space="preserve">d’Incidents directement depuis la console de gestion.</w:t>
      </w:r>
    </w:p>
    <w:bookmarkEnd w:id="47"/>
    <w:bookmarkStart w:id="48" w:name="processus-de-gestion-des-incidents"/>
    <w:p>
      <w:pPr>
        <w:pStyle w:val="Heading3"/>
      </w:pPr>
      <w:r>
        <w:t xml:space="preserve">7.6.3. Processus de gestion des Incidents</w:t>
      </w:r>
    </w:p>
    <w:p>
      <w:pPr>
        <w:pStyle w:val="FirstParagraph"/>
      </w:pPr>
      <w:r>
        <w:t xml:space="preserve">Lors d’une déclaration d’un Incident, l’équipe de support technique du</w:t>
      </w:r>
      <w:r>
        <w:t xml:space="preserve"> </w:t>
      </w:r>
      <w:r>
        <w:t xml:space="preserve">Der Anbieter initiiert eine Untersuchung zur Ermittlung der Ursache von</w:t>
      </w:r>
      <w:r>
        <w:t xml:space="preserve"> </w:t>
      </w:r>
      <w:r>
        <w:t xml:space="preserve">Problem und stellen Sie eine Diagnose fest.Der Sponsor muss zusammenarbeiten</w:t>
      </w:r>
      <w:r>
        <w:t xml:space="preserve"> </w:t>
      </w:r>
      <w:r>
        <w:t xml:space="preserve">aktiv mit dem Dienstleister, indem Sie alle Informationen bereitstellen</w:t>
      </w:r>
      <w:r>
        <w:t xml:space="preserve"> </w:t>
      </w:r>
      <w:r>
        <w:t xml:space="preserve">notwendig und durch Durchführung der erforderlichen Tests.Der Anbieter kann</w:t>
      </w:r>
      <w:r>
        <w:t xml:space="preserve"> </w:t>
      </w:r>
      <w:r>
        <w:t xml:space="preserve">Greifen Sie auf den Sponsor -Service zu, um den Vorfall zu diagnostizieren.</w:t>
      </w:r>
    </w:p>
    <w:p>
      <w:pPr>
        <w:pStyle w:val="BodyText"/>
      </w:pPr>
      <w:r>
        <w:t xml:space="preserve">Wenn die Dienstleisterdienste als funktional und der Vorfall angesehen werden</w:t>
      </w:r>
      <w:r>
        <w:t xml:space="preserve"> </w:t>
      </w:r>
      <w:r>
        <w:t xml:space="preserve">ist nicht auf ihn zurückzuführen, der Sponsor wird informiert.Auf Anfrage</w:t>
      </w:r>
      <w:r>
        <w:t xml:space="preserve"> </w:t>
      </w:r>
      <w:r>
        <w:t xml:space="preserve">des Sponsors kann der Dienstleister Dienstleistungen anbieten</w:t>
      </w:r>
      <w:r>
        <w:t xml:space="preserve"> </w:t>
      </w:r>
      <w:r>
        <w:t xml:space="preserve">Profis, um den Ursprung des Problems zu identifizieren, in Rechnung gestellt</w:t>
      </w:r>
      <w:r>
        <w:t xml:space="preserve"> </w:t>
      </w:r>
      <w:r>
        <w:t xml:space="preserve">Vorherige Vereinbarung von 30 Mio. Tranche.</w:t>
      </w:r>
    </w:p>
    <w:p>
      <w:pPr>
        <w:pStyle w:val="BodyText"/>
      </w:pPr>
      <w:r>
        <w:t xml:space="preserve">Für den Fall, dass der Vorfall die Verantwortung des Dienstleisters ist oder</w:t>
      </w:r>
      <w:r>
        <w:t xml:space="preserve"> </w:t>
      </w:r>
      <w:r>
        <w:t xml:space="preserve">Er ist einer seiner Subunternehmer, er schließt die Diagnose ab und arbeitet</w:t>
      </w:r>
      <w:r>
        <w:t xml:space="preserve"> </w:t>
      </w:r>
      <w:r>
        <w:t xml:space="preserve">Um den Service ohne zusätzliche Kosten wiederherzustellen.Die Diagnose</w:t>
      </w:r>
      <w:r>
        <w:t xml:space="preserve"> </w:t>
      </w:r>
      <w:r>
        <w:t xml:space="preserve">basiert auf dem Austausch zwischen den Parteien und Daten der</w:t>
      </w:r>
      <w:r>
        <w:t xml:space="preserve"> </w:t>
      </w:r>
      <w:r>
        <w:t xml:space="preserve">Anbieter werden diese Elemente durch die Vereinbarung von als überzeugend angesehen</w:t>
      </w:r>
      <w:r>
        <w:t xml:space="preserve"> </w:t>
      </w:r>
      <w:r>
        <w:t xml:space="preserve">Teile.</w:t>
      </w:r>
    </w:p>
    <w:bookmarkEnd w:id="48"/>
    <w:bookmarkStart w:id="50" w:name="priorisierung-von-behandlungen"/>
    <w:p>
      <w:pPr>
        <w:pStyle w:val="Heading3"/>
      </w:pPr>
      <w:r>
        <w:t xml:space="preserve">7.6.4.Priorisierung von Behandlungen</w:t>
      </w:r>
    </w:p>
    <w:p>
      <w:pPr>
        <w:pStyle w:val="FirstParagraph"/>
      </w:pPr>
      <w:r>
        <w:t xml:space="preserve">Die Bestimmung der Prioritätsstufe einer Datei basiert auf a</w:t>
      </w:r>
      <w:r>
        <w:t xml:space="preserve"> </w:t>
      </w:r>
      <w:r>
        <w:t xml:space="preserve">Matrixanalyse, die die Auswirkungen des Vorfalls und seines Grades von bewertet</w:t>
      </w:r>
      <w:r>
        <w:t xml:space="preserve"> </w:t>
      </w:r>
      <w:r>
        <w:t xml:space="preserve">Kritikalität:</w:t>
      </w:r>
    </w:p>
    <w:p>
      <w:pPr>
        <w:pStyle w:val="Compact"/>
        <w:numPr>
          <w:ilvl w:val="0"/>
          <w:numId w:val="1012"/>
        </w:numPr>
      </w:pPr>
      <w:r>
        <w:t xml:space="preserve">Die Auswirkungen werden wie folgt definiert: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Beschreibungsstufe</w:t>
            </w:r>
            <w:r>
              <w:t xml:space="preserve"> </w:t>
            </w:r>
            <w:r>
              <w:t xml:space="preserve">Auswirkungen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I1 Die Dienstleister werden unterbrochen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I2 Die Dienstleister sind verschlechtert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i3 Die Dienstleister sind derzeit stabil,</w:t>
            </w:r>
            <w:r>
              <w:t xml:space="preserve"> </w:t>
            </w:r>
            <w:r>
              <w:t xml:space="preserve">Zeigen jedoch Anzeichen eines langfristigen Rückgangspotenzials</w:t>
            </w:r>
          </w:p>
        </w:tc>
      </w:tr>
    </w:tbl>
    <w:p>
      <w:pPr>
        <w:pStyle w:val="Heading2"/>
        <w:numPr>
          <w:ilvl w:val="0"/>
          <w:numId w:val="1013"/>
        </w:numPr>
      </w:pPr>
      <w:bookmarkStart w:id="49" w:name="X494e72088f86360e46f6cf5692b59abe2b290b8"/>
      <w:r>
        <w:t xml:space="preserve">Kritikalitätsniveaus werden wie folgt definiert:</w:t>
      </w:r>
      <w:bookmarkEnd w:id="49"/>
    </w:p>
    <w:p>
      <w:pPr>
        <w:pStyle w:val="Compact"/>
        <w:numPr>
          <w:ilvl w:val="0"/>
          <w:numId w:val="1000"/>
        </w:numPr>
      </w:pPr>
      <w:r>
        <w:t xml:space="preserve">Beschreibungsstufe</w:t>
      </w:r>
      <w:r>
        <w:t xml:space="preserve"> </w:t>
      </w:r>
      <w:r>
        <w:t xml:space="preserve">Kritikalität</w:t>
      </w:r>
      <w:r>
        <w:t xml:space="preserve"> </w:t>
      </w:r>
      <w:r>
        <w:t xml:space="preserve">——————————————————————————————-</w:t>
      </w:r>
      <w:r>
        <w:t xml:space="preserve"> </w:t>
      </w:r>
      <w:r>
        <w:t xml:space="preserve">Kritikalität der Dienstleister verschlechtert sich zu a</w:t>
      </w:r>
      <w:r>
        <w:t xml:space="preserve"> </w:t>
      </w:r>
      <w:r>
        <w:t xml:space="preserve">C1 Bedenken Geschwindigkeit</w:t>
      </w:r>
    </w:p>
    <w:p>
      <w:pPr>
        <w:pStyle w:val="FirstParagraph"/>
      </w:pPr>
      <w:r>
        <w:t xml:space="preserve">Kritikalität Der Dienstanbieter verschlechtert sich</w:t>
      </w:r>
      <w:r>
        <w:t xml:space="preserve"> </w:t>
      </w:r>
      <w:r>
        <w:t xml:space="preserve">C2 im Laufe der Zeit allmählich</w:t>
      </w:r>
    </w:p>
    <w:p>
      <w:pPr>
        <w:pStyle w:val="BodyText"/>
      </w:pPr>
      <w:r>
        <w:t xml:space="preserve">Kritikalität Die Dienstleister präsentiert einen oder mehrere</w:t>
      </w:r>
      <w:r>
        <w:t xml:space="preserve"> </w:t>
      </w:r>
      <w:r>
        <w:t xml:space="preserve">C3 unpraktisch ohne signifikante Konsequenzen</w:t>
      </w:r>
      <w:r>
        <w:t xml:space="preserve"> </w:t>
      </w:r>
      <w: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Compact"/>
        <w:numPr>
          <w:ilvl w:val="0"/>
          <w:numId w:val="1014"/>
        </w:numPr>
      </w:pPr>
      <w:r>
        <w:t xml:space="preserve">Auf der Grundlage einer In -Tiefen -Analyse der Situation, nehmen Sie die Situation ein</w:t>
      </w:r>
      <w:r>
        <w:t xml:space="preserve"> </w:t>
      </w:r>
      <w:r>
        <w:t xml:space="preserve">zählt Elemente, die Auswirkungen und Kritikalität bestimmen, eine Priorität</w:t>
      </w:r>
      <w:r>
        <w:t xml:space="preserve"> </w:t>
      </w:r>
      <w:r>
        <w:t xml:space="preserve">wird dem Ticket gemäß der folgenden Entscheidungsmatrix zugewiesen</w:t>
      </w:r>
      <w:r>
        <w:t xml:space="preserve"> </w:t>
      </w:r>
      <w:r>
        <w:t xml:space="preserve">::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0"/>
        <w:gridCol w:w="54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Impact Level Impact Level I1 Im</w:t>
            </w:r>
            <w:r>
              <w:t xml:space="preserve"> </w:t>
            </w:r>
            <w:r>
              <w:t xml:space="preserve">Kritikalität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pact i2 Impact i3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Kritikalität C1 Priorität Prior</w:t>
            </w:r>
            <w:r>
              <w:t xml:space="preserve"> </w:t>
            </w:r>
            <w:r>
              <w:t xml:space="preserve">** p1 ** ** p2 ** ** p3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ität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Kritikalität C2 Priorität Prior</w:t>
            </w:r>
            <w:r>
              <w:t xml:space="preserve"> </w:t>
            </w:r>
            <w:r>
              <w:t xml:space="preserve">** p2 ** ** p3 ** ** p4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ität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Kritikalität C3 Priorität Prior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ität Priorität</w:t>
            </w:r>
            <w:r>
              <w:t xml:space="preserve"> </w:t>
            </w:r>
            <w:r>
              <w:rPr>
                <w:b/>
                <w:bCs/>
              </w:rPr>
              <w:t xml:space="preserve">P3</w:t>
            </w:r>
            <w:r>
              <w:t xml:space="preserve"> </w:t>
            </w:r>
            <w:r>
              <w:rPr>
                <w:b/>
                <w:bCs/>
              </w:rPr>
              <w:t xml:space="preserve">P4</w:t>
            </w:r>
            <w:r>
              <w:t xml:space="preserve"> </w:t>
            </w:r>
            <w:r>
              <w:rPr>
                <w:b/>
                <w:bCs/>
              </w:rPr>
              <w:t xml:space="preserve">P5</w:t>
            </w:r>
          </w:p>
        </w:tc>
      </w:tr>
    </w:tbl>
    <w:p>
      <w:pPr>
        <w:pStyle w:val="BodyText"/>
      </w:pPr>
      <w:r>
        <w:t xml:space="preserve">Les engagements de niveau de service correspondant à chaque niveau de</w:t>
      </w:r>
      <w:r>
        <w:t xml:space="preserve"> </w:t>
      </w:r>
      <w:r>
        <w:t xml:space="preserve">priorité sont détaillés dans le chapitre suivant.</w:t>
      </w:r>
    </w:p>
    <w:bookmarkEnd w:id="50"/>
    <w:bookmarkStart w:id="51" w:name="X173001d22a6efce0459be0000928d280647541b"/>
    <w:p>
      <w:pPr>
        <w:pStyle w:val="Heading3"/>
      </w:pPr>
      <w:r>
        <w:t xml:space="preserve">7.6.5. Langue et localisation du service de support</w:t>
      </w:r>
    </w:p>
    <w:p>
      <w:pPr>
        <w:pStyle w:val="FirstParagraph"/>
      </w:pPr>
      <w:r>
        <w:t xml:space="preserve">Le support est fourni par le Prestataire au COMMANDITAIRE a minima en</w:t>
      </w:r>
      <w:r>
        <w:t xml:space="preserve"> </w:t>
      </w:r>
      <w:r>
        <w:t xml:space="preserve">langue française. Le support peut être également fourni en langue</w:t>
      </w:r>
      <w:r>
        <w:t xml:space="preserve"> </w:t>
      </w:r>
      <w:r>
        <w:t xml:space="preserve">anglaise.</w:t>
      </w:r>
    </w:p>
    <w:p>
      <w:pPr>
        <w:pStyle w:val="BodyText"/>
      </w:pPr>
      <w:r>
        <w:t xml:space="preserve">Der Betrieb des Unterstützungsdienstes des Anbieters für das Angebot von</w:t>
      </w:r>
      <w:r>
        <w:t xml:space="preserve"> </w:t>
      </w:r>
      <w:r>
        <w:t xml:space="preserve">Der qualifizierte Infrastrukturdienst in Secnumcloud befindet sich in der Gewerkschaft</w:t>
      </w:r>
      <w:r>
        <w:t xml:space="preserve"> </w:t>
      </w:r>
      <w:r>
        <w:t xml:space="preserve">Europäisch.</w:t>
      </w:r>
    </w:p>
    <w:bookmarkEnd w:id="51"/>
    <w:bookmarkEnd w:id="52"/>
    <w:bookmarkEnd w:id="53"/>
    <w:bookmarkStart w:id="59" w:name="verpflichtungen-und-serviceebenen"/>
    <w:p>
      <w:pPr>
        <w:pStyle w:val="Heading1"/>
      </w:pPr>
      <w:r>
        <w:t xml:space="preserve">8. Verpflichtungen und Serviceebenen</w:t>
      </w:r>
    </w:p>
    <w:p>
      <w:pPr>
        <w:pStyle w:val="FirstParagraph"/>
      </w:pPr>
      <w:r>
        <w:t xml:space="preserve">Der Dienstleister verpflichtet sich, eine kontinuierliche Überwachung von zu garantieren</w:t>
      </w:r>
      <w:r>
        <w:t xml:space="preserve"> </w:t>
      </w:r>
      <w:r>
        <w:t xml:space="preserve">Leistung und Sicherheitsintegrität seiner Infrastruktur</w:t>
      </w:r>
      <w:r>
        <w:t xml:space="preserve"> </w:t>
      </w:r>
      <w:r>
        <w:t xml:space="preserve">Technik liefert den Service und sorgt für ihren optimalen Betrieb.</w:t>
      </w:r>
    </w:p>
    <w:p>
      <w:pPr>
        <w:pStyle w:val="BodyText"/>
      </w:pPr>
      <w:r>
        <w:t xml:space="preserve">Die Nichtverfügbarkeit eines Dienstes, der einem Indikator für unterliegt</w:t>
      </w:r>
      <w:r>
        <w:t xml:space="preserve"> </w:t>
      </w:r>
      <w:r>
        <w:t xml:space="preserve">Leistung, wird erkannt, sobald sie vom System von identifiziert werden</w:t>
      </w:r>
      <w:r>
        <w:t xml:space="preserve"> </w:t>
      </w:r>
      <w:r>
        <w:t xml:space="preserve">Überwachung des Dienstleisters oder nach einer Benachrichtigung durch a</w:t>
      </w:r>
      <w:r>
        <w:t xml:space="preserve"> </w:t>
      </w:r>
      <w:r>
        <w:t xml:space="preserve">Sponsorbenutzer.Der Beginn der Nichtverfügbarkeit ist auf</w:t>
      </w:r>
      <w:r>
        <w:t xml:space="preserve"> </w:t>
      </w:r>
      <w:r>
        <w:t xml:space="preserve">Der früheste Moment zwischen diesen beiden Ereignissen, um a zu garantieren</w:t>
      </w:r>
      <w:r>
        <w:t xml:space="preserve"> </w:t>
      </w:r>
      <w:r>
        <w:t xml:space="preserve">Präzise Zählung und nur nicht verfügbare Zeit.</w:t>
      </w:r>
    </w:p>
    <w:p>
      <w:pPr>
        <w:pStyle w:val="BodyText"/>
      </w:pPr>
      <w:r>
        <w:t xml:space="preserve">Das Ende der Nichtverfügbarkeit ist offiziell durch die gekennzeichnet</w:t>
      </w:r>
      <w:r>
        <w:t xml:space="preserve"> </w:t>
      </w:r>
      <w:r>
        <w:t xml:space="preserve">Vollständige Wiederherstellung des Dienstes, bestätigt entweder durch die Tools von</w:t>
      </w:r>
      <w:r>
        <w:t xml:space="preserve"> </w:t>
      </w:r>
      <w:r>
        <w:t xml:space="preserve">supervision du Prestataire, soit par un retour utilisateur, assurant</w:t>
      </w:r>
      <w:r>
        <w:t xml:space="preserve"> </w:t>
      </w:r>
      <w:r>
        <w:t xml:space="preserve">ainsi une reprise effective des opérations et une mesure fidèle de la</w:t>
      </w:r>
      <w:r>
        <w:t xml:space="preserve"> </w:t>
      </w:r>
      <w:r>
        <w:t xml:space="preserve">durée de l’interruption.</w:t>
      </w:r>
    </w:p>
    <w:bookmarkStart w:id="54" w:name="X8eb3bbcea362dbb4b92f220bfca5c410870e9a6"/>
    <w:p>
      <w:pPr>
        <w:pStyle w:val="Heading2"/>
      </w:pPr>
      <w:r>
        <w:t xml:space="preserve">8.1. Engagements de disponibilité de l’infrastructure</w:t>
      </w:r>
    </w:p>
    <w:p>
      <w:pPr>
        <w:pStyle w:val="FirstParagraph"/>
      </w:pPr>
      <w:r>
        <w:t xml:space="preserve">Le Prestataire s’engage à maintenir un niveau de disponibilité et de</w:t>
      </w:r>
      <w:r>
        <w:t xml:space="preserve"> </w:t>
      </w:r>
      <w:r>
        <w:t xml:space="preserve">performance conforme aux standards définis pour chaque période</w:t>
      </w:r>
      <w:r>
        <w:t xml:space="preserve"> </w:t>
      </w:r>
      <w:r>
        <w:t xml:space="preserve">spécifiée. Les engagements de niveau de service (Service Level</w:t>
      </w:r>
      <w:r>
        <w:t xml:space="preserve"> </w:t>
      </w:r>
      <w:r>
        <w:t xml:space="preserve">Agreements, SLAs) s’appliquent sous réserve que le COMMANDITAIRE</w:t>
      </w:r>
      <w:r>
        <w:t xml:space="preserve"> </w:t>
      </w:r>
      <w:r>
        <w:t xml:space="preserve">implementiert seine Systeme durch mindestens zwei der Bereiche von</w:t>
      </w:r>
      <w:r>
        <w:t xml:space="preserve"> </w:t>
      </w:r>
      <w:r>
        <w:t xml:space="preserve">Verfügbarkeit in der betreffenden Region vorhanden.</w:t>
      </w:r>
    </w:p>
    <w:p>
      <w:pPr>
        <w:pStyle w:val="BodyText"/>
      </w:pPr>
      <w:r>
        <w:t xml:space="preserve">In Ermangelung einer Einhaltung dieser Bedingungen durch den Sponsor</w:t>
      </w:r>
      <w:r>
        <w:t xml:space="preserve"> </w:t>
      </w:r>
      <w:r>
        <w:t xml:space="preserve">kann die Anwendung von SLAs nicht beanspruchen</w:t>
      </w:r>
      <w:r>
        <w:t xml:space="preserve"> </w:t>
      </w:r>
      <w:r>
        <w:t xml:space="preserve">besorgt, die speziell durch ein Sternchen identifiziert werden</w:t>
      </w:r>
      <w:r>
        <w:t xml:space="preserve"> </w:t>
      </w:r>
      <w:r>
        <w:t xml:space="preserve">(*).Die Zugänglichkeit zu SLAs erfolgt über die Sponsor -Schnittstelle.</w:t>
      </w:r>
      <w:r>
        <w:t xml:space="preserve"> </w:t>
      </w:r>
      <w:r>
        <w:t xml:space="preserve">Die Maßnahmen werden monatlich berechnet:</w:t>
      </w:r>
      <w:r>
        <w:t xml:space="preserve"> </w:t>
      </w:r>
      <w:r>
        <w:t xml:space="preserve">-**sla 1 (*): ic-infra_snc-01 **-Verfügbarkeit von Strom</w:t>
      </w:r>
      <w:r>
        <w:t xml:space="preserve"> </w:t>
      </w:r>
      <w:r>
        <w:t xml:space="preserve">Berechnung (Berechnung): Garantierte Verfügbarkeitsrate von 99,99%, berechnet</w:t>
      </w:r>
      <w:r>
        <w:t xml:space="preserve"> </w:t>
      </w:r>
      <w:r>
        <w:t xml:space="preserve">Auf einer 24 -stündigen Basis, 7 Tage die Woche.</w:t>
      </w:r>
      <w:r>
        <w:t xml:space="preserve"> </w:t>
      </w:r>
      <w:r>
        <w:t xml:space="preserve">-**sla 2 (*): ic-infra_snc-02 **-Verfügbarkeit des Speichers:</w:t>
      </w:r>
      <w:r>
        <w:t xml:space="preserve"> </w:t>
      </w:r>
      <w:r>
        <w:t xml:space="preserve">Garantierte Verfügbarkeitsrate von 99,99%, berechnet auf 24 -Stunden -Basis,</w:t>
      </w:r>
      <w:r>
        <w:t xml:space="preserve"> </w:t>
      </w:r>
      <w:r>
        <w:t xml:space="preserve">7 Tage die Woche.</w:t>
      </w:r>
      <w:r>
        <w:t xml:space="preserve"> </w:t>
      </w:r>
      <w:r>
        <w:t xml:space="preserve">-** SLA 3: IC-inFRA_SNC-03</w:t>
      </w:r>
      <w:r>
        <w:t xml:space="preserve"> </w:t>
      </w:r>
      <w:r>
        <w:rPr>
          <w:b/>
          <w:bCs/>
        </w:rPr>
        <w:t xml:space="preserve">-Zuverlässigkeit der Sicherung: Rate von</w:t>
      </w:r>
      <w:r>
        <w:rPr>
          <w:b/>
          <w:bCs/>
        </w:rPr>
        <w:t xml:space="preserve"> </w:t>
      </w:r>
      <w:r>
        <w:rPr>
          <w:b/>
          <w:bCs/>
        </w:rPr>
        <w:t xml:space="preserve">Garantierte Verfügbarkeit von 99,99%, berechnet auf einer 24 -Stunden -Basis, 7 Tage die Woche.</w:t>
      </w:r>
      <w:r>
        <w:rPr>
          <w:b/>
          <w:bCs/>
        </w:rPr>
        <w:t xml:space="preserve"> </w:t>
      </w:r>
      <w:r>
        <w:rPr>
          <w:b/>
          <w:bCs/>
        </w:rPr>
        <w:t xml:space="preserve">-**sla 4 (*): ic-infra_snc-04 **-Verfügbarkeit von</w:t>
      </w:r>
      <w:r>
        <w:rPr>
          <w:b/>
          <w:bCs/>
        </w:rPr>
        <w:t xml:space="preserve"> </w:t>
      </w:r>
      <w:r>
        <w:rPr>
          <w:b/>
          <w:bCs/>
        </w:rPr>
        <w:t xml:space="preserve">Netzwerkinfrastruktur: Garantierte Verfügbarkeitsrate von 99,99%,</w:t>
      </w:r>
      <w:r>
        <w:rPr>
          <w:b/>
          <w:bCs/>
        </w:rPr>
        <w:t xml:space="preserve"> </w:t>
      </w:r>
      <w:r>
        <w:rPr>
          <w:b/>
          <w:bCs/>
        </w:rPr>
        <w:t xml:space="preserve">Berechnet auf einer 24 -Stunden -Basis, 7 Tage die Woche.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t xml:space="preserve"> </w:t>
      </w:r>
      <w:r>
        <w:t xml:space="preserve">SLA 5: IC-infra_snc-05 **-Internetzugang: Verfügbarkeitsrate</w:t>
      </w:r>
      <w:r>
        <w:t xml:space="preserve"> </w:t>
      </w:r>
      <w:r>
        <w:t xml:space="preserve">Garantiert 99,99%, berechnet auf einer 24 -Stunden -Basis, 7 Tage die Woche.</w:t>
      </w:r>
    </w:p>
    <w:p>
      <w:pPr>
        <w:pStyle w:val="BodyText"/>
      </w:pPr>
      <w:r>
        <w:t xml:space="preserve">*** Bemerkungen ***:</w:t>
      </w:r>
    </w:p>
    <w:p>
      <w:pPr>
        <w:numPr>
          <w:ilvl w:val="0"/>
          <w:numId w:val="1015"/>
        </w:numPr>
      </w:pPr>
      <w:r>
        <w:rPr>
          <w:i/>
          <w:iCs/>
        </w:rPr>
        <w:t xml:space="preserve">Als Reaktion auf einen Angriff durch Ablehnung des verteilten Dienstes (DDOS), die</w:t>
      </w:r>
      <w:r>
        <w:rPr>
          <w:i/>
          <w:iCs/>
        </w:rPr>
        <w:t xml:space="preserve"> </w:t>
      </w:r>
      <w:r>
        <w:rPr>
          <w:i/>
          <w:iCs/>
        </w:rPr>
        <w:t xml:space="preserve">Der Anbieter behält sich das Recht vor, seine Routing -Konfiguration anzupassen</w:t>
      </w:r>
      <w:r>
        <w:rPr>
          <w:i/>
          <w:iCs/>
        </w:rPr>
        <w:t xml:space="preserve"> </w:t>
      </w:r>
      <w:r>
        <w:rPr>
          <w:i/>
          <w:iCs/>
        </w:rPr>
        <w:t xml:space="preserve">Internet, um die Auswirkungen dieses Angriffs zu begrenzen und Ihre zu retten</w:t>
      </w:r>
      <w:r>
        <w:rPr>
          <w:i/>
          <w:iCs/>
        </w:rPr>
        <w:t xml:space="preserve"> </w:t>
      </w:r>
      <w:r>
        <w:rPr>
          <w:i/>
          <w:iCs/>
        </w:rPr>
        <w:t xml:space="preserve">Infrastruktur.Insbesondere, wenn eine IP -Adresse gehört zu</w:t>
      </w:r>
      <w:r>
        <w:rPr>
          <w:i/>
          <w:iCs/>
        </w:rPr>
        <w:t xml:space="preserve"> </w:t>
      </w:r>
      <w:r>
        <w:rPr>
          <w:i/>
          <w:iCs/>
        </w:rPr>
        <w:t xml:space="preserve">Der Sponsor ist gezielt, der Dienstanbieter kann die Technik nutzen</w:t>
      </w:r>
      <w:r>
        <w:rPr>
          <w:i/>
          <w:iCs/>
        </w:rPr>
        <w:t xml:space="preserve"> </w:t>
      </w:r>
      <w:r>
        <w:rPr>
          <w:i/>
          <w:iCs/>
        </w:rPr>
        <w:t xml:space="preserve">von BlackHoling über die BGP -Community, um den gesamten Verkehr zu blockieren</w:t>
      </w:r>
      <w:r>
        <w:rPr>
          <w:i/>
          <w:iCs/>
        </w:rPr>
        <w:t xml:space="preserve"> </w:t>
      </w:r>
      <w:r>
        <w:rPr>
          <w:i/>
          <w:iCs/>
        </w:rPr>
        <w:t xml:space="preserve">Die IP -Adresse stromaufwärts bei seinen Lieferanten, um zu</w:t>
      </w:r>
      <w:r>
        <w:rPr>
          <w:i/>
          <w:iCs/>
        </w:rPr>
        <w:t xml:space="preserve"> </w:t>
      </w:r>
      <w:r>
        <w:rPr>
          <w:i/>
          <w:iCs/>
        </w:rPr>
        <w:t xml:space="preserve">Schützen Sie die Ressourcen des Sponsors und der anderen anderer</w:t>
      </w:r>
      <w:r>
        <w:rPr>
          <w:i/>
          <w:iCs/>
        </w:rPr>
        <w:t xml:space="preserve"> </w:t>
      </w:r>
      <w:r>
        <w:rPr>
          <w:i/>
          <w:iCs/>
        </w:rPr>
        <w:t xml:space="preserve">Sponsoren und Infrastruktur des Dienstleisters.Der Anbieter</w:t>
      </w:r>
      <w:r>
        <w:rPr>
          <w:i/>
          <w:iCs/>
        </w:rPr>
        <w:t xml:space="preserve"> </w:t>
      </w:r>
      <w:r>
        <w:rPr>
          <w:i/>
          <w:iCs/>
        </w:rPr>
        <w:t xml:space="preserve">ermutigt den Sponsor stark, ähnliche Maßnahmen zu ergreifen,</w:t>
      </w:r>
      <w:r>
        <w:rPr>
          <w:i/>
          <w:iCs/>
        </w:rPr>
        <w:t xml:space="preserve"> </w:t>
      </w:r>
      <w:r>
        <w:rPr>
          <w:i/>
          <w:iCs/>
        </w:rPr>
        <w:t xml:space="preserve">wie die Verwendung von Webanwendungs ​​-Firewall -Software</w:t>
      </w:r>
      <w:r>
        <w:rPr>
          <w:i/>
          <w:iCs/>
        </w:rPr>
        <w:t xml:space="preserve"> </w:t>
      </w:r>
      <w:r>
        <w:rPr>
          <w:i/>
          <w:iCs/>
        </w:rPr>
        <w:t xml:space="preserve">Auf dem Markt erhältlich und seine Gruppen sorgfältig konfigurieren</w:t>
      </w:r>
      <w:r>
        <w:rPr>
          <w:i/>
          <w:iCs/>
        </w:rPr>
        <w:t xml:space="preserve"> </w:t>
      </w:r>
      <w:r>
        <w:rPr>
          <w:i/>
          <w:iCs/>
        </w:rPr>
        <w:t xml:space="preserve">Sicherheit über die Kontroll -API.</w:t>
      </w:r>
    </w:p>
    <w:p>
      <w:pPr>
        <w:numPr>
          <w:ilvl w:val="0"/>
          <w:numId w:val="1015"/>
        </w:numPr>
      </w:pPr>
      <w:r>
        <w:rPr>
          <w:i/>
          <w:iCs/>
        </w:rPr>
        <w:t xml:space="preserve">Der Dienstleister besteht auf der Notwendigkeit des Sponsors von</w:t>
      </w:r>
      <w:r>
        <w:rPr>
          <w:i/>
          <w:iCs/>
        </w:rPr>
        <w:t xml:space="preserve"> </w:t>
      </w:r>
      <w:r>
        <w:rPr>
          <w:i/>
          <w:iCs/>
        </w:rPr>
        <w:t xml:space="preserve">Minimieren Sie die Flussöffnungen, insbesondere die Herstellung vermeiden</w:t>
      </w:r>
      <w:r>
        <w:rPr>
          <w:i/>
          <w:iCs/>
        </w:rPr>
        <w:t xml:space="preserve"> </w:t>
      </w:r>
      <w:r>
        <w:rPr>
          <w:i/>
          <w:iCs/>
        </w:rPr>
        <w:t xml:space="preserve">Zugriffsfunktionen an Administrationsanschlüssen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SSH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 22 Port) und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RDP</w:t>
      </w:r>
      <w:r>
        <w:rPr>
          <w:i/>
          <w:iCs/>
        </w:rPr>
        <w:t xml:space="preserve"> </w:t>
      </w:r>
      <w:r>
        <w:rPr>
          <w:i/>
          <w:iCs/>
        </w:rPr>
        <w:t xml:space="preserve">(port TCP 3389) depuis l’ensemble d’Internet (sous-réseau</w:t>
      </w:r>
      <w:r>
        <w:rPr>
          <w:i/>
          <w:iCs/>
        </w:rPr>
        <w:t xml:space="preserve"> </w:t>
      </w:r>
      <w:r>
        <w:rPr>
          <w:i/>
          <w:iCs/>
        </w:rPr>
        <w:t xml:space="preserve">0.0.0.0/0), ainsi que les protocoles internes tels que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SMB</w:t>
      </w:r>
      <w:r>
        <w:rPr>
          <w:i/>
          <w:iCs/>
        </w:rPr>
        <w:t xml:space="preserve"> </w:t>
      </w:r>
      <w:r>
        <w:rPr>
          <w:i/>
          <w:iCs/>
        </w:rPr>
        <w:t xml:space="preserve">(port</w:t>
      </w:r>
      <w:r>
        <w:rPr>
          <w:i/>
          <w:iCs/>
        </w:rPr>
        <w:t xml:space="preserve"> </w:t>
      </w:r>
      <w:r>
        <w:rPr>
          <w:i/>
          <w:iCs/>
        </w:rPr>
        <w:t xml:space="preserve">TCP/UDP 445) ou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NFS</w:t>
      </w:r>
      <w:r>
        <w:rPr>
          <w:i/>
          <w:iCs/>
        </w:rPr>
        <w:t xml:space="preserve"> </w:t>
      </w:r>
      <w:r>
        <w:rPr>
          <w:i/>
          <w:iCs/>
        </w:rPr>
        <w:t xml:space="preserve">(port TCP/UDP 2049).</w:t>
      </w:r>
    </w:p>
    <w:bookmarkEnd w:id="54"/>
    <w:bookmarkStart w:id="55" w:name="Xcba4483c3c89f06a7fdc13e93744df56f33d13a"/>
    <w:p>
      <w:pPr>
        <w:pStyle w:val="Heading2"/>
      </w:pPr>
      <w:r>
        <w:t xml:space="preserve">8.2. Engagement de disponibilité de l’interface COMMANDITAIRE</w:t>
      </w:r>
    </w:p>
    <w:p>
      <w:pPr>
        <w:pStyle w:val="Compact"/>
        <w:numPr>
          <w:ilvl w:val="0"/>
          <w:numId w:val="1016"/>
        </w:numPr>
      </w:pPr>
      <w:r>
        <w:t xml:space="preserve">SLA 6 : IC-INFRA_SNC-06 – Accès à la console d’administration du</w:t>
      </w:r>
      <w:r>
        <w:t xml:space="preserve"> </w:t>
      </w:r>
      <w:r>
        <w:t xml:space="preserve">Service : une disponibilité garantie de 97%, assurée en continu, 24</w:t>
      </w:r>
      <w:r>
        <w:t xml:space="preserve"> </w:t>
      </w:r>
      <w:r>
        <w:t xml:space="preserve">heures sur 24 et 7 jours sur 7.</w:t>
      </w:r>
    </w:p>
    <w:p>
      <w:pPr>
        <w:pStyle w:val="Compact"/>
        <w:numPr>
          <w:ilvl w:val="0"/>
          <w:numId w:val="1016"/>
        </w:numPr>
      </w:pPr>
      <w:r>
        <w:t xml:space="preserve">SLA 7 : IC-INFRA_SNC-07 – Accès aux APIs de pilotage du Service : une</w:t>
      </w:r>
      <w:r>
        <w:t xml:space="preserve"> </w:t>
      </w:r>
      <w:r>
        <w:t xml:space="preserve">Verfügbarkeit von 99,9%, berechnet auf einer 24 -Stunden -Basis, 7 Tage die Woche.</w:t>
      </w:r>
    </w:p>
    <w:bookmarkEnd w:id="55"/>
    <w:bookmarkStart w:id="56" w:name="support--verfügbarkeitsverpflichtung"/>
    <w:p>
      <w:pPr>
        <w:pStyle w:val="Heading2"/>
      </w:pPr>
      <w:r>
        <w:t xml:space="preserve">8.3.Support -Verfügbarkeitsverpflichtung</w:t>
      </w:r>
    </w:p>
    <w:p>
      <w:pPr>
        <w:pStyle w:val="FirstParagraph"/>
      </w:pPr>
      <w:r>
        <w:t xml:space="preserve">-** SLA 8: IC-infra_snc-08 **-Hier sind die Leistungsverpflichtungen von</w:t>
      </w:r>
      <w:r>
        <w:t xml:space="preserve"> </w:t>
      </w:r>
      <w:r>
        <w:t xml:space="preserve">Technische Unterstützung des Anbieters für Vorfälle ohne Wartung</w:t>
      </w:r>
      <w:r>
        <w:t xml:space="preserve"> </w:t>
      </w:r>
      <w:r>
        <w:t xml:space="preserve">Programmiert:</w:t>
      </w:r>
    </w:p>
    <w:tbl>
      <w:tblPr>
        <w:tblStyle w:val="Table"/>
        <w:tblW w:type="pct" w:w="417"/>
        <w:tblLayout w:type="fixed"/>
        <w:tblLook w:firstRow="1" w:lastRow="0" w:firstColumn="0" w:lastColumn="0" w:noHBand="0" w:noVBand="0" w:val="0020"/>
      </w:tblPr>
      <w:tblGrid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Priorität garantierte Interventionszeitziel von</w:t>
            </w:r>
            <w:r>
              <w:t xml:space="preserve"> </w:t>
            </w:r>
            <w:r>
              <w:t xml:space="preserve">(GTI) Leistung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Priorität 30 Mio. 95%</w:t>
            </w:r>
            <w:r>
              <w:t xml:space="preserve"> </w:t>
            </w:r>
            <w:r>
              <w:t xml:space="preserve">** p1 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Priorität 2H 90%</w:t>
            </w:r>
            <w:r>
              <w:t xml:space="preserve"> </w:t>
            </w:r>
            <w:r>
              <w:t xml:space="preserve">** p2 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Priorität 4H 90%</w:t>
            </w:r>
            <w:r>
              <w:t xml:space="preserve"> </w:t>
            </w:r>
            <w:r>
              <w:t xml:space="preserve">** p3 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Priorität 24h 85%</w:t>
            </w:r>
            <w:r>
              <w:t xml:space="preserve"> </w:t>
            </w:r>
            <w:r>
              <w:t xml:space="preserve">** p4 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Priorität 48H 85%</w:t>
            </w:r>
            <w:r>
              <w:t xml:space="preserve"> </w:t>
            </w:r>
            <w:r>
              <w:t xml:space="preserve">** p5 **</w:t>
            </w:r>
          </w:p>
        </w:tc>
      </w:tr>
    </w:tbl>
    <w:p>
      <w:pPr>
        <w:pStyle w:val="BodyText"/>
      </w:pPr>
      <w:r>
        <w:t xml:space="preserve">-** SLA 9: IC-inFRA_SNC-09 **-Hier sind die Leistungsverpflichtungen von</w:t>
      </w:r>
      <w:r>
        <w:t xml:space="preserve"> </w:t>
      </w:r>
      <w:r>
        <w:t xml:space="preserve">Technische Support des Anbieters für Serviceanfragen:</w:t>
      </w:r>
    </w:p>
    <w:tbl>
      <w:tblPr>
        <w:tblStyle w:val="Table"/>
        <w:tblW w:type="pct" w:w="4867"/>
        <w:tblLayout w:type="fixed"/>
        <w:tblLook w:firstRow="1" w:lastRow="0" w:firstColumn="0" w:lastColumn="0" w:noHBand="0" w:noVBand="0" w:val="0020"/>
      </w:tblPr>
      <w:tblGrid>
        <w:gridCol w:w="1795"/>
        <w:gridCol w:w="3696"/>
        <w:gridCol w:w="2217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Garantie de temps d’intervention</w:t>
            </w:r>
            <w:r>
              <w:t xml:space="preserve"> </w:t>
            </w:r>
            <w:r>
              <w:t xml:space="preserve">(GTI)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Objectif de</w:t>
            </w:r>
            <w:r>
              <w:t xml:space="preserve"> </w:t>
            </w:r>
            <w:r>
              <w:t xml:space="preserve">performance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Demande de</w:t>
            </w:r>
            <w:r>
              <w:t xml:space="preserve"> </w:t>
            </w:r>
            <w:r>
              <w:t xml:space="preserve">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</w:tr>
    </w:tbl>
    <w:p>
      <w:pPr>
        <w:pStyle w:val="BodyText"/>
      </w:pPr>
      <w:r>
        <w:rPr>
          <w:i/>
          <w:iCs/>
        </w:rPr>
        <w:t xml:space="preserve">Nota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17"/>
        </w:numPr>
      </w:pPr>
      <w:r>
        <w:rPr>
          <w:i/>
          <w:iCs/>
        </w:rPr>
        <w:t xml:space="preserve">Le délai pour la Garantie de Temps d’Intervention (GTI) est calculé à</w:t>
      </w:r>
      <w:r>
        <w:rPr>
          <w:i/>
          <w:iCs/>
        </w:rPr>
        <w:t xml:space="preserve"> </w:t>
      </w:r>
      <w:r>
        <w:rPr>
          <w:i/>
          <w:iCs/>
        </w:rPr>
        <w:t xml:space="preserve">Ausgehend von dem Unterschied zwischen dem Moment, in dem der Sponsor die öffnet</w:t>
      </w:r>
      <w:r>
        <w:rPr>
          <w:i/>
          <w:iCs/>
        </w:rPr>
        <w:t xml:space="preserve"> </w:t>
      </w:r>
      <w:r>
        <w:rPr>
          <w:i/>
          <w:iCs/>
        </w:rPr>
        <w:t xml:space="preserve">Ticket und die erste Intervention der Unterstützung des Anbieters.</w:t>
      </w:r>
    </w:p>
    <w:p>
      <w:pPr>
        <w:pStyle w:val="Compact"/>
        <w:numPr>
          <w:ilvl w:val="0"/>
          <w:numId w:val="1017"/>
        </w:numPr>
      </w:pPr>
      <w:r>
        <w:rPr>
          <w:i/>
          <w:iCs/>
        </w:rPr>
        <w:t xml:space="preserve">Untersuchung von Vorfällen zu Sponsoren</w:t>
      </w:r>
      <w:r>
        <w:rPr>
          <w:i/>
          <w:iCs/>
        </w:rPr>
        <w:t xml:space="preserve"> </w:t>
      </w:r>
      <w:r>
        <w:rPr>
          <w:i/>
          <w:iCs/>
        </w:rPr>
        <w:t xml:space="preserve">wird keine Fernintervention auf den angemessenen Servern der enthalten</w:t>
      </w:r>
      <w:r>
        <w:rPr>
          <w:i/>
          <w:iCs/>
        </w:rPr>
        <w:t xml:space="preserve"> </w:t>
      </w:r>
      <w:r>
        <w:rPr>
          <w:i/>
          <w:iCs/>
        </w:rPr>
        <w:t xml:space="preserve">Sponsor.Diese Unterstützung wird auf die Erklärung von beschränkt sein</w:t>
      </w:r>
      <w:r>
        <w:rPr>
          <w:i/>
          <w:iCs/>
        </w:rPr>
        <w:t xml:space="preserve"> </w:t>
      </w:r>
      <w:r>
        <w:rPr>
          <w:i/>
          <w:iCs/>
        </w:rPr>
        <w:t xml:space="preserve">Metriken zur Verfügung im Zusammenhang mit der Umgebung des Sponsors,</w:t>
      </w:r>
      <w:r>
        <w:rPr>
          <w:i/>
          <w:iCs/>
        </w:rPr>
        <w:t xml:space="preserve"> </w:t>
      </w:r>
      <w:r>
        <w:rPr>
          <w:i/>
          <w:iCs/>
        </w:rPr>
        <w:t xml:space="preserve">Um das Verständnis von Vorfällen oder Problemen von zu erleichtern</w:t>
      </w:r>
      <w:r>
        <w:rPr>
          <w:i/>
          <w:iCs/>
        </w:rPr>
        <w:t xml:space="preserve"> </w:t>
      </w:r>
      <w:r>
        <w:rPr>
          <w:i/>
          <w:iCs/>
        </w:rPr>
        <w:t xml:space="preserve">Leistung auftreten.Basierend auf den Ergebnissen dieser Analyse,</w:t>
      </w:r>
      <w:r>
        <w:rPr>
          <w:i/>
          <w:iCs/>
        </w:rPr>
        <w:t xml:space="preserve"> </w:t>
      </w:r>
      <w:r>
        <w:rPr>
          <w:i/>
          <w:iCs/>
        </w:rPr>
        <w:t xml:space="preserve">Empfehlungen können vorgeschlagen werden.</w:t>
      </w:r>
    </w:p>
    <w:bookmarkEnd w:id="56"/>
    <w:bookmarkStart w:id="57" w:name="Xd4413fcbc921a6231e101a3405aabe18e99bff8"/>
    <w:p>
      <w:pPr>
        <w:pStyle w:val="Heading2"/>
      </w:pPr>
      <w:r>
        <w:t xml:space="preserve">8.4.S3 Objektspeicherverfügbarkeit Verpflichtung</w:t>
      </w:r>
    </w:p>
    <w:p>
      <w:pPr>
        <w:pStyle w:val="FirstParagraph"/>
      </w:pPr>
      <w:r>
        <w:t xml:space="preserve">-** SLA 10: IC-inFRA_SNC-10 **-Hier sind die Verfügbarkeitsverpflichtungen</w:t>
      </w:r>
      <w:r>
        <w:t xml:space="preserve"> </w:t>
      </w:r>
      <w:r>
        <w:t xml:space="preserve">Für S3 -Objektspeicher: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Objektives Engagement -Indikator für</w:t>
            </w:r>
            <w:r>
              <w:t xml:space="preserve"> </w:t>
            </w:r>
            <w:r>
              <w:t xml:space="preserve">Verfügbarkeit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IC-infra-SNC-10.1 Haltbarkeit der Speicherung eines Objekts von 99.99999999% / Jahr</w:t>
            </w:r>
            <w:r>
              <w:t xml:space="preserve"> </w:t>
            </w:r>
            <w:r>
              <w:t xml:space="preserve">eine Region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IC-infra-SNC-12</w:t>
            </w:r>
            <w:r>
              <w:t xml:space="preserve"> </w:t>
            </w:r>
            <w:r>
              <w:t xml:space="preserve">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IC-Infra-SNC-10.3 Maximaler Zugriff auf ein Objekt 150 ms</w:t>
            </w:r>
            <w:r>
              <w:t xml:space="preserve"> </w:t>
            </w:r>
            <w:r>
              <w:t xml:space="preserve">in einer Region</w:t>
            </w:r>
          </w:p>
        </w:tc>
      </w:tr>
    </w:tbl>
    <w:p>
      <w:pPr>
        <w:pStyle w:val="BodyText"/>
      </w:pPr>
      <w:r>
        <w:t xml:space="preserve">Bemerkungen:</w:t>
      </w:r>
    </w:p>
    <w:p>
      <w:pPr>
        <w:pStyle w:val="Compact"/>
        <w:numPr>
          <w:ilvl w:val="0"/>
          <w:numId w:val="1018"/>
        </w:numPr>
      </w:pPr>
      <w:r>
        <w:t xml:space="preserve">Der Objektspeicherdienst wurde speziell für die Speicherung entwickelt</w:t>
      </w:r>
      <w:r>
        <w:t xml:space="preserve"> </w:t>
      </w:r>
      <w:r>
        <w:t xml:space="preserve">Objekte und müssen für diesen alleinigen Zweck verwendet werden, ** ohne</w:t>
      </w:r>
      <w:r>
        <w:t xml:space="preserve"> </w:t>
      </w:r>
      <w:r>
        <w:t xml:space="preserve">Kategorisch seine Verwendung im Block ** -Modus.Verwenden Sie den Blockmodus</w:t>
      </w:r>
      <w:r>
        <w:t xml:space="preserve"> </w:t>
      </w:r>
      <w:r>
        <w:t xml:space="preserve">durch umgeleitete Methoden, einschließlich der Verwendung von zum Beispiel</w:t>
      </w:r>
      <w:r>
        <w:t xml:space="preserve"> </w:t>
      </w:r>
      <w:r>
        <w:rPr>
          <w:i/>
          <w:iCs/>
        </w:rPr>
        <w:t xml:space="preserve">“Sicherung”</w:t>
      </w:r>
      <w:r>
        <w:rPr>
          <w:i/>
          <w:iCs/>
        </w:rPr>
        <w:t xml:space="preserve"> </w:t>
      </w:r>
      <w:r>
        <w:rPr>
          <w:i/>
          <w:iCs/>
        </w:rPr>
        <w:t xml:space="preserve">in einer Linux -Umgebung</w:t>
      </w:r>
      <w:r>
        <w:t xml:space="preserve">ist eine Straftat zu</w:t>
      </w:r>
      <w:r>
        <w:t xml:space="preserve"> </w:t>
      </w:r>
      <w:r>
        <w:t xml:space="preserve">termes d’utilisation énoncés. Aucun incident, dysfonctionnement ou</w:t>
      </w:r>
      <w:r>
        <w:t xml:space="preserve"> </w:t>
      </w:r>
      <w:r>
        <w:t xml:space="preserve">dommage découlant de cet usage non conforme ne sera couvert par les</w:t>
      </w:r>
      <w:r>
        <w:t xml:space="preserve"> </w:t>
      </w:r>
      <w:r>
        <w:t xml:space="preserve">Accords de Niveau de Service (SLA) définis dans cette convention de</w:t>
      </w:r>
      <w:r>
        <w:t xml:space="preserve"> </w:t>
      </w:r>
      <w:r>
        <w:t xml:space="preserve">services.</w:t>
      </w:r>
    </w:p>
    <w:p>
      <w:pPr>
        <w:pStyle w:val="Compact"/>
        <w:numPr>
          <w:ilvl w:val="0"/>
          <w:numId w:val="1018"/>
        </w:numPr>
      </w:pPr>
      <w:r>
        <w:t xml:space="preserve">La garantie de durabilité est conditionnée à une utilisation des</w:t>
      </w:r>
      <w:r>
        <w:t xml:space="preserve"> </w:t>
      </w:r>
      <w:r>
        <w:t xml:space="preserve">services conforme aux meilleures pratiques et standards actuels, et</w:t>
      </w:r>
      <w:r>
        <w:t xml:space="preserve"> </w:t>
      </w:r>
      <w:r>
        <w:t xml:space="preserve">exclut explicitement toute modification des données, qu’elle soit</w:t>
      </w:r>
      <w:r>
        <w:t xml:space="preserve"> </w:t>
      </w:r>
      <w:r>
        <w:t xml:space="preserve">intentionnelle ou accidentelle, résultant d’actions entreprises par le</w:t>
      </w:r>
      <w:r>
        <w:t xml:space="preserve"> </w:t>
      </w:r>
      <w:r>
        <w:t xml:space="preserve">Sponsor.</w:t>
      </w:r>
    </w:p>
    <w:bookmarkEnd w:id="57"/>
    <w:bookmarkStart w:id="58" w:name="präzision-in-bezug-auf-das-schutzgebäude"/>
    <w:p>
      <w:pPr>
        <w:pStyle w:val="Heading2"/>
      </w:pPr>
      <w:r>
        <w:t xml:space="preserve">8.5.Präzision in Bezug auf das Schutzgebäude</w:t>
      </w:r>
    </w:p>
    <w:p>
      <w:pPr>
        <w:pStyle w:val="FirstParagraph"/>
      </w:pPr>
      <w:r>
        <w:t xml:space="preserve">Die für den Sponsor eingesetzte Sicherungsstrategie ist</w:t>
      </w:r>
      <w:r>
        <w:t xml:space="preserve"> </w:t>
      </w:r>
      <w:r>
        <w:t xml:space="preserve">Konditioniert durch Abonnement zu angemessenen Arbeitseinheiten.</w:t>
      </w:r>
    </w:p>
    <w:p>
      <w:pPr>
        <w:pStyle w:val="BodyText"/>
      </w:pPr>
      <w:r>
        <w:t xml:space="preserve">Der Anbieter verpflichtet sich der Bereitstellung einer Lösung zu</w:t>
      </w:r>
      <w:r>
        <w:t xml:space="preserve"> </w:t>
      </w:r>
      <w:r>
        <w:t xml:space="preserve">Schutz, mit der der Sponsor die Richtlinien von anwenden kann</w:t>
      </w:r>
      <w:r>
        <w:t xml:space="preserve"> </w:t>
      </w:r>
      <w:r>
        <w:t xml:space="preserve">gewünschte Backups.</w:t>
      </w:r>
    </w:p>
    <w:p>
      <w:pPr>
        <w:pStyle w:val="BodyText"/>
      </w:pPr>
      <w:r>
        <w:t xml:space="preserve">Es wird angegeben, dass der Umfang des Dienstleisters an der endet</w:t>
      </w:r>
      <w:r>
        <w:t xml:space="preserve"> </w:t>
      </w:r>
      <w:r>
        <w:t xml:space="preserve">Bereitstellung eines Sicherungsdienstes und es ist der Sponsor von</w:t>
      </w:r>
      <w:r>
        <w:t xml:space="preserve"> </w:t>
      </w:r>
      <w:r>
        <w:t xml:space="preserve">Überwachen Sie die korrekte Ausführung der ordnungsgemäßen Ausführung von</w:t>
      </w:r>
      <w:r>
        <w:t xml:space="preserve"> </w:t>
      </w:r>
      <w:r>
        <w:t xml:space="preserve">damit verbundene Richtlinien.</w:t>
      </w:r>
    </w:p>
    <w:p>
      <w:pPr>
        <w:pStyle w:val="BodyText"/>
      </w:pPr>
      <w:r>
        <w:t xml:space="preserve">Es ist angegeben, dass die Verwaltung der Speicherkapazität des Raums von</w:t>
      </w:r>
      <w:r>
        <w:t xml:space="preserve"> </w:t>
      </w:r>
      <w:r>
        <w:t xml:space="preserve">Speicher, der Sicherungen gewidmet ist, bleibt die Verantwortung und Verantwortung von</w:t>
      </w:r>
      <w:r>
        <w:t xml:space="preserve"> </w:t>
      </w:r>
      <w:r>
        <w:t xml:space="preserve">Sponsor.Der Dienstanbieter liefert die Nutzungsrate</w:t>
      </w:r>
      <w:r>
        <w:t xml:space="preserve"> </w:t>
      </w:r>
      <w:r>
        <w:t xml:space="preserve">über die Konsole.</w:t>
      </w:r>
    </w:p>
    <w:p>
      <w:pPr>
        <w:pStyle w:val="BodyText"/>
      </w:pPr>
      <w:r>
        <w:rPr>
          <w:i/>
          <w:iCs/>
        </w:rPr>
        <w:t xml:space="preserve">Beispiel: Keine Sicherung einer virtuellen Maschine:</w:t>
      </w:r>
    </w:p>
    <w:p>
      <w:pPr>
        <w:pStyle w:val="BodyText"/>
      </w:pPr>
      <w:r>
        <w:rPr>
          <w:i/>
          <w:iCs/>
        </w:rPr>
        <w:t xml:space="preserve">Der Sponsor ist dafür verantwortlich, das Recht zu überprüfen / zu überwachen</w:t>
      </w:r>
      <w:r>
        <w:rPr>
          <w:i/>
          <w:iCs/>
        </w:rPr>
        <w:t xml:space="preserve"> </w:t>
      </w:r>
      <w:r>
        <w:rPr>
          <w:i/>
          <w:iCs/>
        </w:rPr>
        <w:t xml:space="preserve">Ausführung von Backup -Richtlinien, falls die</w:t>
      </w:r>
      <w:r>
        <w:rPr>
          <w:i/>
          <w:iCs/>
        </w:rPr>
        <w:t xml:space="preserve"> </w:t>
      </w:r>
      <w:r>
        <w:rPr>
          <w:i/>
          <w:iCs/>
        </w:rPr>
        <w:t xml:space="preserve">Sponsor merkt an, dass eine virtuelle Maschine nicht gespeichert wird,</w:t>
      </w:r>
      <w:r>
        <w:rPr>
          <w:i/>
          <w:iCs/>
        </w:rPr>
        <w:t xml:space="preserve"> </w:t>
      </w:r>
      <w:r>
        <w:rPr>
          <w:i/>
          <w:iCs/>
        </w:rPr>
        <w:t xml:space="preserve">Es liegt an ihm, die Sache zu überprüfen, der Sponsor kann</w:t>
      </w:r>
      <w:r>
        <w:rPr>
          <w:i/>
          <w:iCs/>
        </w:rPr>
        <w:t xml:space="preserve"> </w:t>
      </w:r>
      <w:r>
        <w:rPr>
          <w:i/>
          <w:iCs/>
        </w:rPr>
        <w:t xml:space="preserve">Fordern Sie die Unterstützung der Bestimmung gemäß dem abonnierten Support an</w:t>
      </w:r>
      <w:r>
        <w:rPr>
          <w:i/>
          <w:iCs/>
        </w:rPr>
        <w:t xml:space="preserve"> </w:t>
      </w:r>
      <w:r>
        <w:rPr>
          <w:i/>
          <w:iCs/>
        </w:rPr>
        <w:t xml:space="preserve">Assistiert werden.</w:t>
      </w:r>
    </w:p>
    <w:p>
      <w:pPr>
        <w:pStyle w:val="BodyText"/>
      </w:pPr>
      <w:r>
        <w:t xml:space="preserve">** SLA 8: IC-inFRA_SNC-08 und SLA 9 ** sind ausschließlich anwendbar</w:t>
      </w:r>
      <w:r>
        <w:t xml:space="preserve"> </w:t>
      </w:r>
      <w:r>
        <w:t xml:space="preserve">Im Falle eines Schutzbetrags.</w:t>
      </w:r>
    </w:p>
    <w:bookmarkEnd w:id="58"/>
    <w:bookmarkEnd w:id="59"/>
    <w:bookmarkStart w:id="65" w:name="organisation-der-vertraglichen-beziehung"/>
    <w:p>
      <w:pPr>
        <w:pStyle w:val="Heading1"/>
      </w:pPr>
      <w:r>
        <w:t xml:space="preserve">9. Organisation der vertraglichen Beziehung</w:t>
      </w:r>
    </w:p>
    <w:bookmarkStart w:id="60" w:name="verantwortlichkeiten-des-anbieters"/>
    <w:p>
      <w:pPr>
        <w:pStyle w:val="Heading2"/>
      </w:pPr>
      <w:r>
        <w:t xml:space="preserve">9.1.Verantwortlichkeiten des Anbieters</w:t>
      </w:r>
    </w:p>
    <w:p>
      <w:pPr>
        <w:pStyle w:val="FirstParagraph"/>
      </w:pPr>
      <w:r>
        <w:t xml:space="preserve">Der Dienstleister ist begangen:</w:t>
      </w:r>
    </w:p>
    <w:p>
      <w:pPr>
        <w:numPr>
          <w:ilvl w:val="0"/>
          <w:numId w:val="1019"/>
        </w:numPr>
      </w:pPr>
      <w:r>
        <w:t xml:space="preserve">um seinen Sponsor angemessen zu informieren (zum Beispiel für den Fall</w:t>
      </w:r>
      <w:r>
        <w:t xml:space="preserve"> </w:t>
      </w:r>
      <w:r>
        <w:t xml:space="preserve">technische Ressourcenkapazitätsbegrenzung des Dienstes).</w:t>
      </w:r>
    </w:p>
    <w:p>
      <w:pPr>
        <w:numPr>
          <w:ilvl w:val="0"/>
          <w:numId w:val="1019"/>
        </w:numPr>
      </w:pPr>
      <w:r>
        <w:t xml:space="preserve">den Sponsor offiziell informieren und innerhalb eines Monats,</w:t>
      </w:r>
      <w:r>
        <w:t xml:space="preserve"> </w:t>
      </w:r>
      <w:r>
        <w:t xml:space="preserve">von jeglichen, organisatorischen oder technischen Veränderungen, die können</w:t>
      </w:r>
      <w:r>
        <w:t xml:space="preserve"> </w:t>
      </w:r>
      <w:r>
        <w:t xml:space="preserve">Auswirkungen auf die Einhaltung des Dienstes für die Anforderungen von haben</w:t>
      </w:r>
      <w:r>
        <w:t xml:space="preserve"> </w:t>
      </w:r>
      <w:r>
        <w:t xml:space="preserve">Schutz gegen extra europäische Gesetze (19,6 des SNC-Standards</w:t>
      </w:r>
      <w:r>
        <w:t xml:space="preserve"> </w:t>
      </w:r>
      <w:r>
        <w:t xml:space="preserve">v3.2).</w:t>
      </w:r>
    </w:p>
    <w:p>
      <w:pPr>
        <w:numPr>
          <w:ilvl w:val="0"/>
          <w:numId w:val="1019"/>
        </w:numPr>
      </w:pPr>
      <w:r>
        <w:t xml:space="preserve">Um dem Sponsor Schnittstellen und Service -Schnittstellen zur Verfügung zu stellen</w:t>
      </w:r>
      <w:r>
        <w:t xml:space="preserve"> </w:t>
      </w:r>
      <w:r>
        <w:t xml:space="preserve">die zumindest in Französisch sind.</w:t>
      </w:r>
    </w:p>
    <w:p>
      <w:pPr>
        <w:numPr>
          <w:ilvl w:val="0"/>
          <w:numId w:val="1019"/>
        </w:numPr>
      </w:pPr>
      <w:r>
        <w:t xml:space="preserve">Berücksichtigung bestimmter sektoraler Anforderungen in Verbindung mit</w:t>
      </w:r>
      <w:r>
        <w:t xml:space="preserve"> </w:t>
      </w:r>
      <w:r>
        <w:t xml:space="preserve">Arten von Informationen, die vom Sponsor als Teil von betraut sind</w:t>
      </w:r>
      <w:r>
        <w:t xml:space="preserve"> </w:t>
      </w:r>
      <w:r>
        <w:t xml:space="preserve">die Implementierung des Dienstes und innerhalb der Grenzen der Verantwortlichkeiten des</w:t>
      </w:r>
      <w:r>
        <w:t xml:space="preserve"> </w:t>
      </w:r>
      <w:r>
        <w:t xml:space="preserve">Anbieter aus einer Aktie und den im Vertrag vorgesehenen Bestimmungen</w:t>
      </w:r>
      <w:r>
        <w:t xml:space="preserve"> </w:t>
      </w:r>
      <w:r>
        <w:t xml:space="preserve">Andererseits;</w:t>
      </w:r>
    </w:p>
    <w:p>
      <w:pPr>
        <w:numPr>
          <w:ilvl w:val="0"/>
          <w:numId w:val="1019"/>
        </w:numPr>
      </w:pPr>
      <w:r>
        <w:t xml:space="preserve">Untersuchung spezifischer sektoraler Anforderungen im Zusammenhang mit Typen</w:t>
      </w:r>
      <w:r>
        <w:t xml:space="preserve"> </w:t>
      </w:r>
      <w:r>
        <w:t xml:space="preserve">Informationen, die vom Sponsor als Teil der betraut sind</w:t>
      </w:r>
      <w:r>
        <w:t xml:space="preserve"> </w:t>
      </w:r>
      <w:r>
        <w:t xml:space="preserve">in der Arbeit des Dienstes, später vom Sponsor zum Ausdruck gebracht, und</w:t>
      </w:r>
      <w:r>
        <w:t xml:space="preserve"> </w:t>
      </w:r>
      <w:r>
        <w:t xml:space="preserve">Dem letzteren die erforderlichen Maßnahmen zur Einnahme ihres Erhalts anzuzeigen</w:t>
      </w:r>
      <w:r>
        <w:t xml:space="preserve"> </w:t>
      </w:r>
      <w:r>
        <w:t xml:space="preserve">Konto</w:t>
      </w:r>
    </w:p>
    <w:p>
      <w:pPr>
        <w:numPr>
          <w:ilvl w:val="0"/>
          <w:numId w:val="1019"/>
        </w:numPr>
      </w:pPr>
      <w:r>
        <w:t xml:space="preserve">keine Informationen über den Service angeben</w:t>
      </w:r>
      <w:r>
        <w:t xml:space="preserve"> </w:t>
      </w:r>
      <w:r>
        <w:t xml:space="preserve">Dritte, es sei denn, die formelle und schriftliche Genehmigung des Sponsors.</w:t>
      </w:r>
    </w:p>
    <w:p>
      <w:pPr>
        <w:numPr>
          <w:ilvl w:val="0"/>
          <w:numId w:val="1019"/>
        </w:numPr>
      </w:pPr>
      <w:r>
        <w:t xml:space="preserve">um alle für die erforderlichen Informationen zur Verfügung zu stellen</w:t>
      </w:r>
      <w:r>
        <w:t xml:space="preserve"> </w:t>
      </w:r>
      <w:r>
        <w:t xml:space="preserve">Realisierung von Compliance -Audits gemäß den Bestimmungen von</w:t>
      </w:r>
      <w:r>
        <w:t xml:space="preserve"> </w:t>
      </w:r>
      <w:r>
        <w:t xml:space="preserve">Artikel 28 der DSGVO.</w:t>
      </w:r>
    </w:p>
    <w:p>
      <w:pPr>
        <w:numPr>
          <w:ilvl w:val="0"/>
          <w:numId w:val="1019"/>
        </w:numPr>
      </w:pPr>
      <w:r>
        <w:t xml:space="preserve">dem Sponsor durch diese Vereinbarung von gemeldet werden</w:t>
      </w:r>
      <w:r>
        <w:t xml:space="preserve"> </w:t>
      </w:r>
      <w:r>
        <w:t xml:space="preserve">Service, jeder Sicherheitsvorfall, der sich auf den Service auswirkt oder</w:t>
      </w:r>
      <w:r>
        <w:t xml:space="preserve"> </w:t>
      </w:r>
      <w:r>
        <w:t xml:space="preserve">die Verwendung des Service -Sponsors (einschließlich der</w:t>
      </w:r>
      <w:r>
        <w:t xml:space="preserve"> </w:t>
      </w:r>
      <w:r>
        <w:t xml:space="preserve">Commander -Daten).</w:t>
      </w:r>
    </w:p>
    <w:p>
      <w:pPr>
        <w:numPr>
          <w:ilvl w:val="0"/>
          <w:numId w:val="1019"/>
        </w:numPr>
      </w:pPr>
      <w:r>
        <w:t xml:space="preserve">Einen Systemanbieter von Systemen zu autorisieren</w:t>
      </w:r>
      <w:r>
        <w:t xml:space="preserve"> </w:t>
      </w:r>
      <w:r>
        <w:t xml:space="preserve">Qualifizierte Informationen (PASSI), die vom Dienstanbieter vorgeschrieben ist, zur Prüfung</w:t>
      </w:r>
      <w:r>
        <w:t xml:space="preserve"> </w:t>
      </w:r>
      <w:r>
        <w:t xml:space="preserve">Der Service sowie sein Informationssystem gemäß dem Plan</w:t>
      </w:r>
      <w:r>
        <w:t xml:space="preserve"> </w:t>
      </w:r>
      <w:r>
        <w:t xml:space="preserve">Kontrolle der Secnumcloud des Dienstleisters.Darüber hinaus der Anbieter</w:t>
      </w:r>
      <w:r>
        <w:t xml:space="preserve"> </w:t>
      </w:r>
      <w:r>
        <w:t xml:space="preserve">verpflichtet sich, alle Informationen zur Verfügung zu stellen, die erforderlich sind, um zu führen</w:t>
      </w:r>
      <w:r>
        <w:t xml:space="preserve"> </w:t>
      </w:r>
      <w:r>
        <w:t xml:space="preserve">Nun, die Audits zur Einhaltung der Bestimmungen von Artikel 28 der</w:t>
      </w:r>
      <w:r>
        <w:t xml:space="preserve"> </w:t>
      </w:r>
      <w:r>
        <w:t xml:space="preserve">DSGVO, angeführt vom Sponsor oder einem vorgeschriebenen Dritten.</w:t>
      </w:r>
    </w:p>
    <w:p>
      <w:pPr>
        <w:numPr>
          <w:ilvl w:val="0"/>
          <w:numId w:val="1019"/>
        </w:numPr>
      </w:pPr>
      <w:r>
        <w:t xml:space="preserve">als Subunternehmer in Übereinstimmung mit Artikel 28 von zur Verfügung gestellt werden</w:t>
      </w:r>
      <w:r>
        <w:t xml:space="preserve"> </w:t>
      </w:r>
      <w:r>
        <w:t xml:space="preserve">Allgemeine Datenschutzbestimmungen (DSGVO), Unterstützung und</w:t>
      </w:r>
      <w:r>
        <w:t xml:space="preserve"> </w:t>
      </w:r>
      <w:r>
        <w:t xml:space="preserve">Ratschläge an den Sponsor, indem Sie ihn so schnell wie eine Anweisung alarmieren</w:t>
      </w:r>
      <w:r>
        <w:t xml:space="preserve"> </w:t>
      </w:r>
      <w:r>
        <w:t xml:space="preserve">von letzterem ausgestellt wird wahrscheinlich einen Verstoß gegen</w:t>
      </w:r>
      <w:r>
        <w:t xml:space="preserve"> </w:t>
      </w:r>
      <w:r>
        <w:t xml:space="preserve">Datenschutzregeln.</w:t>
      </w:r>
    </w:p>
    <w:p>
      <w:pPr>
        <w:numPr>
          <w:ilvl w:val="0"/>
          <w:numId w:val="1019"/>
        </w:numPr>
      </w:pPr>
      <w:r>
        <w:t xml:space="preserve">um den Sponsor innerhalb einer angemessenen Zeit über die zu benachrichtigen</w:t>
      </w:r>
      <w:r>
        <w:t xml:space="preserve"> </w:t>
      </w:r>
      <w:r>
        <w:t xml:space="preserve">Sponsorkonsole oder per E -Mail im Sponsorkontakt,</w:t>
      </w:r>
      <w:r>
        <w:t xml:space="preserve"> </w:t>
      </w:r>
      <w:r>
        <w:t xml:space="preserve">Wenn ein Impact -Projekt oder wahrscheinlich das Niveau von beeinflussen wird</w:t>
      </w:r>
      <w:r>
        <w:t xml:space="preserve"> </w:t>
      </w:r>
      <w:r>
        <w:t xml:space="preserve">Sicherheit oder Verfügbarkeit des Dienstes oder um einen Verlust von zu generieren</w:t>
      </w:r>
      <w:r>
        <w:t xml:space="preserve"> </w:t>
      </w:r>
      <w:r>
        <w:t xml:space="preserve">Funktionalität, mögliche Auswirkungen, Minderungsmaßnahmen</w:t>
      </w:r>
      <w:r>
        <w:t xml:space="preserve"> </w:t>
      </w:r>
      <w:r>
        <w:t xml:space="preserve">Einrichten sowie Restrisiken, die es betreffen.</w:t>
      </w:r>
    </w:p>
    <w:p>
      <w:pPr>
        <w:numPr>
          <w:ilvl w:val="0"/>
          <w:numId w:val="1019"/>
        </w:numPr>
      </w:pPr>
      <w:r>
        <w:t xml:space="preserve">Alle Verfahren dokumentieren und implementieren</w:t>
      </w:r>
      <w:r>
        <w:t xml:space="preserve"> </w:t>
      </w:r>
      <w:r>
        <w:t xml:space="preserve">notwendig, um legal, regulatorisch zu entsprechen und</w:t>
      </w:r>
      <w:r>
        <w:t xml:space="preserve"> </w:t>
      </w:r>
      <w:r>
        <w:t xml:space="preserve">vertraglich anwendbar für den Service sowie die Bedürfnisse von</w:t>
      </w:r>
      <w:r>
        <w:t xml:space="preserve"> </w:t>
      </w:r>
      <w:r>
        <w:t xml:space="preserve">Spezifische Sicherheitssicherheit, definiert durch letztere und</w:t>
      </w:r>
      <w:r>
        <w:t xml:space="preserve"> </w:t>
      </w:r>
      <w:r>
        <w:t xml:space="preserve">im Vertrag bereitgestellt.</w:t>
      </w:r>
    </w:p>
    <w:p>
      <w:pPr>
        <w:numPr>
          <w:ilvl w:val="0"/>
          <w:numId w:val="1019"/>
        </w:numPr>
      </w:pPr>
      <w:r>
        <w:t xml:space="preserve">Die Daten des Kommandanten aus der Produktion nicht verwenden</w:t>
      </w:r>
      <w:r>
        <w:t xml:space="preserve"> </w:t>
      </w:r>
      <w:r>
        <w:t xml:space="preserve">Tests durchführen, mit Ausnahme, dass sie zuvor erhalten wurden</w:t>
      </w:r>
      <w:r>
        <w:t xml:space="preserve"> </w:t>
      </w:r>
      <w:r>
        <w:t xml:space="preserve">Die ausdrückliche Genehmigung des Sponsors, in diesem Fall der Dienstleister</w:t>
      </w:r>
      <w:r>
        <w:t xml:space="preserve"> </w:t>
      </w:r>
      <w:r>
        <w:t xml:space="preserve">verpflichten sich, diese Daten zu anonymisieren und ihre Vertraulichkeit sicherzustellen</w:t>
      </w:r>
      <w:r>
        <w:t xml:space="preserve"> </w:t>
      </w:r>
      <w:r>
        <w:t xml:space="preserve">während ihrer Anonymisierung.</w:t>
      </w:r>
    </w:p>
    <w:p>
      <w:pPr>
        <w:numPr>
          <w:ilvl w:val="0"/>
          <w:numId w:val="1019"/>
        </w:numPr>
      </w:pPr>
      <w:r>
        <w:t xml:space="preserve">Daten und technische Daten in Bezug auf das Löschen von Daten in Bezug auf</w:t>
      </w:r>
      <w:r>
        <w:t xml:space="preserve"> </w:t>
      </w:r>
      <w:r>
        <w:t xml:space="preserve">Sponsor in Übereinstimmung mit dem</w:t>
      </w:r>
      <w:r>
        <w:t xml:space="preserve"> </w:t>
      </w:r>
      <w:r>
        <w:t xml:space="preserve">“Datenlöschungsverfahren”</w:t>
      </w:r>
      <w:r>
        <w:t xml:space="preserve"> </w:t>
      </w:r>
      <w:r>
        <w:t xml:space="preserve">am Ende des Vertrags “, beschrieben in dieser Servicevereinbarung</w:t>
      </w:r>
      <w:r>
        <w:t xml:space="preserve"> </w:t>
      </w:r>
      <w:r>
        <w:t xml:space="preserve">Wenn ein Vertrag abgeschlossen ist oder Kündigung.</w:t>
      </w:r>
    </w:p>
    <w:p>
      <w:pPr>
        <w:numPr>
          <w:ilvl w:val="0"/>
          <w:numId w:val="1019"/>
        </w:numPr>
      </w:pPr>
      <w:r>
        <w:t xml:space="preserve">um eine sichere Löschung aller Daten aus sicherzustellen</w:t>
      </w:r>
      <w:r>
        <w:t xml:space="preserve"> </w:t>
      </w:r>
      <w:r>
        <w:t xml:space="preserve">Sponsor durch vollständige Umschreiben eines jeden moderierten Mediums</w:t>
      </w:r>
      <w:r>
        <w:t xml:space="preserve"> </w:t>
      </w:r>
      <w:r>
        <w:t xml:space="preserve">seine Daten als Teil des Dienstes.</w:t>
      </w:r>
    </w:p>
    <w:p>
      <w:pPr>
        <w:pStyle w:val="FirstParagraph"/>
      </w:pPr>
      <w:r>
        <w:t xml:space="preserve">Auf Wunsch des formellen und schriftlichen Sponsors veranstaltet der Dienstleister</w:t>
      </w:r>
      <w:r>
        <w:t xml:space="preserve"> </w:t>
      </w:r>
      <w:r>
        <w:t xml:space="preserve">hat :</w:t>
      </w:r>
    </w:p>
    <w:p>
      <w:pPr>
        <w:numPr>
          <w:ilvl w:val="0"/>
          <w:numId w:val="1020"/>
        </w:numPr>
      </w:pPr>
      <w:r>
        <w:t xml:space="preserve">Machen Sie die internen Vorschriften für den Sponsor zugänglich und</w:t>
      </w:r>
      <w:r>
        <w:t xml:space="preserve"> </w:t>
      </w:r>
      <w:r>
        <w:t xml:space="preserve">Ethikcharter des Anbieters;</w:t>
      </w:r>
    </w:p>
    <w:p>
      <w:pPr>
        <w:numPr>
          <w:ilvl w:val="0"/>
          <w:numId w:val="1020"/>
        </w:numPr>
      </w:pPr>
      <w:r>
        <w:t xml:space="preserve">Machen Sie die Sanktionen für den Sponsor zugänglich, der in den Fall</w:t>
      </w:r>
      <w:r>
        <w:t xml:space="preserve"> </w:t>
      </w:r>
      <w:r>
        <w:t xml:space="preserve">Verstoß gegen die Sicherheitspolitik;</w:t>
      </w:r>
    </w:p>
    <w:p>
      <w:pPr>
        <w:pStyle w:val="FirstParagraph"/>
      </w:pPr>
      <w:r>
        <w:t xml:space="preserve">3.. Bieten Sie dem Sponsor die Veranstaltungen in Bezug auf ihn</w:t>
      </w:r>
      <w:r>
        <w:t xml:space="preserve"> </w:t>
      </w:r>
      <w:r>
        <w:t xml:space="preserve">in den Elementen der Dienstjournalisierung;der Sponsor</w:t>
      </w:r>
      <w:r>
        <w:t xml:space="preserve"> </w:t>
      </w:r>
      <w:r>
        <w:t xml:space="preserve">Dies kann auch die relativen Ereignisse in der Autonomie konsultieren</w:t>
      </w:r>
      <w:r>
        <w:t xml:space="preserve"> </w:t>
      </w:r>
      <w:r>
        <w:t xml:space="preserve">zur Nutzung des Dienstes über Web -Schnittstellen und APIs von</w:t>
      </w:r>
      <w:r>
        <w:t xml:space="preserve"> </w:t>
      </w:r>
      <w:r>
        <w:t xml:space="preserve">Service ;</w:t>
      </w:r>
    </w:p>
    <w:p>
      <w:pPr>
        <w:pStyle w:val="BodyText"/>
      </w:pPr>
      <w:r>
        <w:t xml:space="preserve">4.. Machen Sie Verfahren für den Sponsor zugänglich</w:t>
      </w:r>
      <w:r>
        <w:t xml:space="preserve"> </w:t>
      </w:r>
      <w:r>
        <w:t xml:space="preserve">Einhaltung der rechtlichen, regulatorischen und vertraglichen Anforderungen in</w:t>
      </w:r>
      <w:r>
        <w:t xml:space="preserve"> </w:t>
      </w:r>
      <w:r>
        <w:t xml:space="preserve">Vigor anwendbar für den Service sowie Sicherheitsanforderungen</w:t>
      </w:r>
      <w:r>
        <w:t xml:space="preserve"> </w:t>
      </w:r>
      <w:r>
        <w:t xml:space="preserve">spezifisch für den im Vertrag vorgesehenen Sponsor;</w:t>
      </w:r>
      <w:r>
        <w:t xml:space="preserve"> </w:t>
      </w:r>
      <w:r>
        <w:t xml:space="preserve">5. Die Risikobewertungselemente in Bezug auf die</w:t>
      </w:r>
      <w:r>
        <w:t xml:space="preserve"> </w:t>
      </w:r>
      <w:r>
        <w:t xml:space="preserve">Einreichung der Daten des Sponsors rechts von einem Staat</w:t>
      </w:r>
      <w:r>
        <w:t xml:space="preserve"> </w:t>
      </w:r>
      <w:r>
        <w:t xml:space="preserve">Nichtmitglied der Europäischen Union;</w:t>
      </w:r>
    </w:p>
    <w:p>
      <w:pPr>
        <w:pStyle w:val="Compact"/>
        <w:numPr>
          <w:ilvl w:val="0"/>
          <w:numId w:val="1021"/>
        </w:numPr>
      </w:pPr>
      <w:r>
        <w:t xml:space="preserve">den Sponsor über nachfolgende Subunternehmer informieren</w:t>
      </w:r>
      <w:r>
        <w:t xml:space="preserve"> </w:t>
      </w:r>
      <w:r>
        <w:t xml:space="preserve">Stakeholder bei der Bereitstellung des Dienstes und um sie über alle zu informieren</w:t>
      </w:r>
      <w:r>
        <w:t xml:space="preserve"> </w:t>
      </w:r>
      <w:r>
        <w:t xml:space="preserve">Ändern Sie die Auswirkungen auf diese Subunternehmer.</w:t>
      </w:r>
    </w:p>
    <w:p>
      <w:pPr>
        <w:pStyle w:val="BlockText"/>
      </w:pPr>
      <w:r>
        <w:t xml:space="preserve">Der Anbieter und alle seine Tochterunternehmen verpflichten sich, Respekt zu respektieren</w:t>
      </w:r>
      <w:r>
        <w:t xml:space="preserve"> </w:t>
      </w:r>
      <w:r>
        <w:t xml:space="preserve">Die Grundwerte der Europäischen Union, nämlich Würde</w:t>
      </w:r>
      <w:r>
        <w:t xml:space="preserve"> </w:t>
      </w:r>
      <w:r>
        <w:t xml:space="preserve">Mensch, Freiheit, Demokratie, Gleichheit, Rechtsstaatlichkeit sowie Rechtsstaatlichkeit</w:t>
      </w:r>
      <w:r>
        <w:t xml:space="preserve"> </w:t>
      </w:r>
      <w:r>
        <w:t xml:space="preserve">Dieser Respekt vor Menschenrechten.Der von der erbrachte Service</w:t>
      </w:r>
      <w:r>
        <w:t xml:space="preserve"> </w:t>
      </w:r>
      <w:r>
        <w:t xml:space="preserve">Der Anbieter entspricht den in Angelegenheiten von Angelegenheiten von in Kraft befindlichen Rechtsvorschriften</w:t>
      </w:r>
      <w:r>
        <w:t xml:space="preserve"> </w:t>
      </w:r>
      <w:r>
        <w:t xml:space="preserve">Grundrechte und die Werte der Europäischen Union in Bezug auf</w:t>
      </w:r>
      <w:r>
        <w:t xml:space="preserve"> </w:t>
      </w:r>
      <w:r>
        <w:t xml:space="preserve">Respekt vor menschlicher Würde, Freiheit, Gleichheit, zu</w:t>
      </w:r>
      <w:r>
        <w:t xml:space="preserve"> </w:t>
      </w:r>
      <w:r>
        <w:t xml:space="preserve">Demokratie und Rechtsstaatlichkeit.</w:t>
      </w:r>
      <w:r>
        <w:t xml:space="preserve"> </w:t>
      </w:r>
      <w:r>
        <w:t xml:space="preserve">## 9.2.Einschränkung der Verantwortlichkeiten des Anbieters</w:t>
      </w:r>
    </w:p>
    <w:p>
      <w:pPr>
        <w:pStyle w:val="FirstParagraph"/>
      </w:pPr>
      <w:r>
        <w:t xml:space="preserve">Wegen all der in der genannten Definitionen und Bedingungen</w:t>
      </w:r>
      <w:r>
        <w:t xml:space="preserve"> </w:t>
      </w:r>
      <w:r>
        <w:t xml:space="preserve">Diese Servicevereinbarung, die Verantwortlichkeiten des Dienstleisters sind</w:t>
      </w:r>
      <w:r>
        <w:t xml:space="preserve"> </w:t>
      </w:r>
      <w:r>
        <w:t xml:space="preserve">Begrenzt wie folgt:</w:t>
      </w:r>
    </w:p>
    <w:p>
      <w:pPr>
        <w:pStyle w:val="Compact"/>
        <w:numPr>
          <w:ilvl w:val="0"/>
          <w:numId w:val="1022"/>
        </w:numPr>
      </w:pPr>
      <w:r>
        <w:t xml:space="preserve">Das im Abschnitt beschriebene gemeinsame Haftungsmodell</w:t>
      </w:r>
      <w:r>
        <w:t xml:space="preserve"> </w:t>
      </w:r>
      <w:r>
        <w:t xml:space="preserve">“Gemeinsames Verantwortungsmodell”</w:t>
      </w:r>
      <w:r>
        <w:t xml:space="preserve"> </w:t>
      </w:r>
      <w:r>
        <w:t xml:space="preserve">davon</w:t>
      </w:r>
      <w:r>
        <w:t xml:space="preserve"> </w:t>
      </w:r>
      <w:r>
        <w:t xml:space="preserve">Der Service beschränkt tatsächlich die Beteiligung des Dienstleisters in</w:t>
      </w:r>
      <w:r>
        <w:t xml:space="preserve"> </w:t>
      </w:r>
      <w:r>
        <w:t xml:space="preserve">Betriebsschichten</w:t>
      </w:r>
      <w:r>
        <w:t xml:space="preserve"> </w:t>
      </w:r>
      <w:r>
        <w:t xml:space="preserve">“über”</w:t>
      </w:r>
      <w:r>
        <w:t xml:space="preserve"> </w:t>
      </w:r>
      <w:r>
        <w:t xml:space="preserve">der</w:t>
      </w:r>
      <w:r>
        <w:t xml:space="preserve"> </w:t>
      </w:r>
      <w:r>
        <w:t xml:space="preserve">Berechnung von Berechnung, Netzwerk, Speicher und</w:t>
      </w:r>
      <w:r>
        <w:t xml:space="preserve"> </w:t>
      </w:r>
      <w:r>
        <w:t xml:space="preserve">Backup.Dies schließt insbesondere aus, ohne sich selbst einzuschränken:</w:t>
      </w:r>
    </w:p>
    <w:p>
      <w:pPr>
        <w:numPr>
          <w:ilvl w:val="0"/>
          <w:numId w:val="1023"/>
        </w:numPr>
      </w:pPr>
      <w:r>
        <w:t xml:space="preserve">Verwaltung dessen, was auf virtuellen Maschinen installiert ist (Betriebssystem,</w:t>
      </w:r>
      <w:r>
        <w:t xml:space="preserve"> </w:t>
      </w:r>
      <w:r>
        <w:t xml:space="preserve">Middleware, Anwendung usw.);</w:t>
      </w:r>
    </w:p>
    <w:p>
      <w:pPr>
        <w:numPr>
          <w:ilvl w:val="0"/>
          <w:numId w:val="1023"/>
        </w:numPr>
      </w:pPr>
      <w:r>
        <w:t xml:space="preserve">Aktualisierte Knochen und andere von der installierte Software</w:t>
      </w:r>
      <w:r>
        <w:t xml:space="preserve"> </w:t>
      </w:r>
      <w:r>
        <w:t xml:space="preserve">Sponsor für ihre Maschinen in ihren Unterstützern;</w:t>
      </w:r>
    </w:p>
    <w:p>
      <w:pPr>
        <w:numPr>
          <w:ilvl w:val="0"/>
          <w:numId w:val="1023"/>
        </w:numPr>
      </w:pPr>
      <w:r>
        <w:t xml:space="preserve">Programmsicherheit, Software und Anwendung installiert auf</w:t>
      </w:r>
      <w:r>
        <w:t xml:space="preserve"> </w:t>
      </w:r>
      <w:r>
        <w:t xml:space="preserve">virtuelle Maschinen;</w:t>
      </w:r>
    </w:p>
    <w:p>
      <w:pPr>
        <w:numPr>
          <w:ilvl w:val="0"/>
          <w:numId w:val="1023"/>
        </w:numPr>
      </w:pPr>
      <w:r>
        <w:t xml:space="preserve">virtuelle Maschinen aktualisieren;</w:t>
      </w:r>
    </w:p>
    <w:p>
      <w:pPr>
        <w:numPr>
          <w:ilvl w:val="0"/>
          <w:numId w:val="1023"/>
        </w:numPr>
      </w:pPr>
      <w:r>
        <w:t xml:space="preserve">Datensicherung auf Anwendungsebene.</w:t>
      </w:r>
    </w:p>
    <w:p>
      <w:pPr>
        <w:numPr>
          <w:ilvl w:val="0"/>
          <w:numId w:val="1024"/>
        </w:numPr>
      </w:pPr>
      <w:r>
        <w:t xml:space="preserve">Der Dienstleister kann keine Verpflichtungen eingehen, um die zu schützen</w:t>
      </w:r>
      <w:r>
        <w:t xml:space="preserve"> </w:t>
      </w:r>
      <w:r>
        <w:t xml:space="preserve">Anhänger des Sponsors ohne den Sponsor im Voraus haben</w:t>
      </w:r>
      <w:r>
        <w:t xml:space="preserve"> </w:t>
      </w:r>
      <w:r>
        <w:t xml:space="preserve">Abonniert für die angemessenen Werke von Arbeiten.</w:t>
      </w:r>
    </w:p>
    <w:p>
      <w:pPr>
        <w:numPr>
          <w:ilvl w:val="0"/>
          <w:numId w:val="1024"/>
        </w:numPr>
      </w:pPr>
      <w:r>
        <w:t xml:space="preserve">Der Dienstleister kann das Datenbesitz nicht nutzen</w:t>
      </w:r>
      <w:r>
        <w:t xml:space="preserve"> </w:t>
      </w:r>
      <w:r>
        <w:t xml:space="preserve">vom Sponsor übertragen und generiert.In der Tat diese</w:t>
      </w:r>
      <w:r>
        <w:t xml:space="preserve"> </w:t>
      </w:r>
      <w:r>
        <w:t xml:space="preserve">sind der Besitz des Sponsors.</w:t>
      </w:r>
    </w:p>
    <w:p>
      <w:pPr>
        <w:numPr>
          <w:ilvl w:val="0"/>
          <w:numId w:val="1024"/>
        </w:numPr>
      </w:pPr>
      <w:r>
        <w:t xml:space="preserve">Der Dienstleister unterstreicht, dass er in keinem Fall nutzen kann und/oder</w:t>
      </w:r>
      <w:r>
        <w:t xml:space="preserve"> </w:t>
      </w:r>
      <w:r>
        <w:t xml:space="preserve">Daten vom Sponsor übertragen und generiert haben</w:t>
      </w:r>
      <w:r>
        <w:t xml:space="preserve"> </w:t>
      </w:r>
      <w:r>
        <w:t xml:space="preserve">Ohne vorherige Validierung des letzteren wird verstanden, dass ihre</w:t>
      </w:r>
      <w:r>
        <w:t xml:space="preserve"> </w:t>
      </w:r>
      <w:r>
        <w:t xml:space="preserve">Die Bestimmung ist dem Sponsor vorbehalten.</w:t>
      </w:r>
    </w:p>
    <w:p>
      <w:pPr>
        <w:numPr>
          <w:ilvl w:val="0"/>
          <w:numId w:val="1024"/>
        </w:numPr>
      </w:pPr>
      <w:r>
        <w:t xml:space="preserve">Der Dienstanbieter generiert jede Verantwortung für die Komponenten</w:t>
      </w:r>
      <w:r>
        <w:t xml:space="preserve"> </w:t>
      </w:r>
      <w:r>
        <w:t xml:space="preserve">physisch untergebracht und vom Anbieter infogiert, aber der ist der</w:t>
      </w:r>
      <w:r>
        <w:t xml:space="preserve"> </w:t>
      </w:r>
      <w:r>
        <w:t xml:space="preserve">direktes Eigentum des Sponsors oder eines Dritten, mit dem die</w:t>
      </w:r>
      <w:r>
        <w:t xml:space="preserve"> </w:t>
      </w:r>
      <w:r>
        <w:t xml:space="preserve">Der Sponsor hat sich beauftragt.Komponentenunterkunft</w:t>
      </w:r>
      <w:r>
        <w:t xml:space="preserve"> </w:t>
      </w:r>
      <w:r>
        <w:t xml:space="preserve">Kunden sind nicht Teil des Dienstes und sind in der Tat tatsächlich</w:t>
      </w:r>
      <w:r>
        <w:t xml:space="preserve"> </w:t>
      </w:r>
      <w:r>
        <w:t xml:space="preserve">außerhalb des Rahmens dieser Servicevereinbarung.Es liegt in der Verantwortung von</w:t>
      </w:r>
      <w:r>
        <w:t xml:space="preserve"> </w:t>
      </w:r>
      <w:r>
        <w:t xml:space="preserve">Sponsor, um den Grad des Griffs oder der Abhängigkeit zu bewerten</w:t>
      </w:r>
      <w:r>
        <w:t xml:space="preserve"> </w:t>
      </w:r>
      <w:r>
        <w:t xml:space="preserve">Dadurch helfen diese Komponenten in Bezug auf den qualifizierten IaaS -Service</w:t>
      </w:r>
      <w:r>
        <w:t xml:space="preserve"> </w:t>
      </w:r>
      <w:r>
        <w:t xml:space="preserve">Secnumcloud.</w:t>
      </w:r>
    </w:p>
    <w:bookmarkEnd w:id="60"/>
    <w:bookmarkStart w:id="61" w:name="zugangsbeschränkung"/>
    <w:p>
      <w:pPr>
        <w:pStyle w:val="Heading2"/>
      </w:pPr>
      <w:r>
        <w:t xml:space="preserve">9.3.Zugangsbeschränkung</w:t>
      </w:r>
    </w:p>
    <w:p>
      <w:pPr>
        <w:pStyle w:val="FirstParagraph"/>
      </w:pPr>
      <w:r>
        <w:t xml:space="preserve">Im Rahmen des Dienstes ist der Dienstleister strengstens untersagt</w:t>
      </w:r>
      <w:r>
        <w:t xml:space="preserve"> </w:t>
      </w:r>
      <w:r>
        <w:t xml:space="preserve">d’accéder aux Tenants appartenant au COMMANDITAIRE sans autorisation</w:t>
      </w:r>
      <w:r>
        <w:t xml:space="preserve"> </w:t>
      </w:r>
      <w:r>
        <w:t xml:space="preserve">préalable. Il est de la responsabilité du COMMANDITAIRE de fournir les</w:t>
      </w:r>
      <w:r>
        <w:t xml:space="preserve"> </w:t>
      </w:r>
      <w:r>
        <w:t xml:space="preserve">accès nécessaires au personnel du Prestataire, selon les besoins</w:t>
      </w:r>
      <w:r>
        <w:t xml:space="preserve"> </w:t>
      </w:r>
      <w:r>
        <w:t xml:space="preserve">spécifiques de l’hébergement et, le cas échéant, des services</w:t>
      </w:r>
      <w:r>
        <w:t xml:space="preserve"> </w:t>
      </w:r>
      <w:r>
        <w:t xml:space="preserve">professionnels de support, si cette option a été choisie par le</w:t>
      </w:r>
      <w:r>
        <w:t xml:space="preserve"> </w:t>
      </w:r>
      <w:r>
        <w:t xml:space="preserve">COMMANDITAIRE.</w:t>
      </w:r>
    </w:p>
    <w:p>
      <w:pPr>
        <w:pStyle w:val="BodyText"/>
      </w:pPr>
      <w:r>
        <w:t xml:space="preserve">Le COMMANDITAIRE reconnaît que ces accès sont accordés exclusivement</w:t>
      </w:r>
      <w:r>
        <w:t xml:space="preserve"> </w:t>
      </w:r>
      <w:r>
        <w:t xml:space="preserve">pour les besoins liés à la prestation de services convenus, assurant</w:t>
      </w:r>
      <w:r>
        <w:t xml:space="preserve"> </w:t>
      </w:r>
      <w:r>
        <w:t xml:space="preserve">Somit ein sicheres Management und in Übereinstimmung mit den Bestimmungen der Vereinbarung.</w:t>
      </w:r>
    </w:p>
    <w:p>
      <w:pPr>
        <w:pStyle w:val="BodyText"/>
      </w:pPr>
      <w:r>
        <w:t xml:space="preserve">Entfernter Zugang durch Dritte, die am Dienst von beteiligt sind</w:t>
      </w:r>
      <w:r>
        <w:t xml:space="preserve"> </w:t>
      </w:r>
      <w:r>
        <w:t xml:space="preserve">Der Anbieter ist strengstens untersagt.Falls eine Anforderung</w:t>
      </w:r>
      <w:r>
        <w:t xml:space="preserve"> </w:t>
      </w:r>
      <w:r>
        <w:t xml:space="preserve">Spezifische Technik würde einen solchen Zugang erfordern, es konnte nicht</w:t>
      </w:r>
      <w:r>
        <w:t xml:space="preserve"> </w:t>
      </w:r>
      <w:r>
        <w:t xml:space="preserve">feststellen, dass der Sponsor nach klarem Benachrichtigen</w:t>
      </w:r>
      <w:r>
        <w:t xml:space="preserve"> </w:t>
      </w:r>
      <w:r>
        <w:t xml:space="preserve">Eine detaillierte Rechtfertigung und erhielt seine schriftliche Vereinbarung.</w:t>
      </w:r>
    </w:p>
    <w:p>
      <w:pPr>
        <w:pStyle w:val="BodyText"/>
      </w:pPr>
      <w:r>
        <w:t xml:space="preserve">Diese Maßnahme garantiert die Kontrolle und Sicherheit von Daten von</w:t>
      </w:r>
      <w:r>
        <w:t xml:space="preserve"> </w:t>
      </w:r>
      <w:r>
        <w:t xml:space="preserve">Sponsor, indem er sicherstellt, dass eine Ausnahme von der Regel ordnungsgemäß ist</w:t>
      </w:r>
      <w:r>
        <w:t xml:space="preserve"> </w:t>
      </w:r>
      <w:r>
        <w:t xml:space="preserve">autorisiert und dokumentiert.</w:t>
      </w:r>
    </w:p>
    <w:bookmarkEnd w:id="61"/>
    <w:bookmarkStart w:id="62" w:name="Xe39fb2d38d53c8384a3103cbe4e7013cfec49ab"/>
    <w:p>
      <w:pPr>
        <w:pStyle w:val="Heading2"/>
      </w:pPr>
      <w:r>
        <w:t xml:space="preserve">9.4.Verantwortlichkeiten von Dritten, die an der Bereitstellung des sicheren Tempeldienstes teilnehmen</w:t>
      </w:r>
    </w:p>
    <w:p>
      <w:pPr>
        <w:pStyle w:val="FirstParagraph"/>
      </w:pPr>
      <w:r>
        <w:t xml:space="preserve">Der Dienstanbieter veranstaltet die Liste des dritten Partners, der an der teilnimmt</w:t>
      </w:r>
      <w:r>
        <w:t xml:space="preserve"> </w:t>
      </w:r>
      <w:r>
        <w:t xml:space="preserve">Lieferung des Service.Diese Dritten sind Verlage, Anbieter (von</w:t>
      </w:r>
      <w:r>
        <w:t xml:space="preserve"> </w:t>
      </w:r>
      <w:r>
        <w:t xml:space="preserve">Dienstleister) und andere Lieferanten, die an der Versorgung von teilnehmen</w:t>
      </w:r>
      <w:r>
        <w:t xml:space="preserve"> </w:t>
      </w:r>
      <w:r>
        <w:t xml:space="preserve">Service.Der Anbieter wendet die folgenden Maßnahmen auf diese Dritten an:</w:t>
      </w:r>
      <w:r>
        <w:t xml:space="preserve"> </w:t>
      </w:r>
      <w:r>
        <w:t xml:space="preserve">- Der Dienstanbieter verlangt von Dritten, die an der Umsetzung von beteiligt sind</w:t>
      </w:r>
      <w:r>
        <w:t xml:space="preserve"> </w:t>
      </w:r>
      <w:r>
        <w:t xml:space="preserve">Service, in ihrem Beitrag zum Dienst, ein Sicherheitsniveau zu</w:t>
      </w:r>
      <w:r>
        <w:t xml:space="preserve"> </w:t>
      </w:r>
      <w:r>
        <w:t xml:space="preserve">weniger äquivalent zu dem, was er verpflichtet, in seinen eigenen zu warten</w:t>
      </w:r>
      <w:r>
        <w:t xml:space="preserve"> </w:t>
      </w:r>
      <w:r>
        <w:t xml:space="preserve">Sicherheitsrichtlinien für den sicheren Tempeldienst;</w:t>
      </w:r>
    </w:p>
    <w:p>
      <w:pPr>
        <w:numPr>
          <w:ilvl w:val="0"/>
          <w:numId w:val="1025"/>
        </w:numPr>
      </w:pPr>
      <w:r>
        <w:t xml:space="preserve">Die Anbieterverträge, wobei jeder der Dritten an der beteiligt ist</w:t>
      </w:r>
      <w:r>
        <w:t xml:space="preserve"> </w:t>
      </w:r>
      <w:r>
        <w:t xml:space="preserve">Implementierung des Dienstes, Prüfungsklauseln, die a erlauben</w:t>
      </w:r>
      <w:r>
        <w:t xml:space="preserve"> </w:t>
      </w:r>
      <w:r>
        <w:t xml:space="preserve">Qualifikationsorganisation, um zu überprüfen, ob diese Dritten die respektieren</w:t>
      </w:r>
      <w:r>
        <w:t xml:space="preserve"> </w:t>
      </w:r>
      <w:r>
        <w:t xml:space="preserve">gesetzliche Anforderungen und SNC -Anforderungen, die den Anbieter ermöglichen</w:t>
      </w:r>
      <w:r>
        <w:t xml:space="preserve"> </w:t>
      </w:r>
      <w:r>
        <w:t xml:space="preserve">Respektieren Sie Ihre Verpflichtungen in dieser Servicevereinbarung.</w:t>
      </w:r>
    </w:p>
    <w:p>
      <w:pPr>
        <w:numPr>
          <w:ilvl w:val="0"/>
          <w:numId w:val="1025"/>
        </w:numPr>
      </w:pPr>
      <w:r>
        <w:t xml:space="preserve">Der Dienstanbieter implementiert ein Verfahren zur Kontrolle</w:t>
      </w:r>
      <w:r>
        <w:t xml:space="preserve"> </w:t>
      </w:r>
      <w:r>
        <w:t xml:space="preserve">regelmäßig die Maßnahmen, an denen Dritte teilnehmen</w:t>
      </w:r>
      <w:r>
        <w:t xml:space="preserve"> </w:t>
      </w:r>
      <w:r>
        <w:t xml:space="preserve">die Implementierung des Dienstes zur Einhaltung der Anforderungen an die Anforderungen</w:t>
      </w:r>
      <w:r>
        <w:t xml:space="preserve"> </w:t>
      </w:r>
      <w:r>
        <w:t xml:space="preserve">Anbieter, um ihre Verpflichtungen in diesem Konvent zu respektieren</w:t>
      </w:r>
      <w:r>
        <w:t xml:space="preserve"> </w:t>
      </w:r>
      <w:r>
        <w:t xml:space="preserve">des Dienstes.</w:t>
      </w:r>
    </w:p>
    <w:p>
      <w:pPr>
        <w:numPr>
          <w:ilvl w:val="0"/>
          <w:numId w:val="1025"/>
        </w:numPr>
      </w:pPr>
      <w:r>
        <w:t xml:space="preserve">Der Anbieter sorgt für eine Folge der Änderungen der Dritten, die Dritte vorgenommen haben</w:t>
      </w:r>
      <w:r>
        <w:t xml:space="preserve"> </w:t>
      </w:r>
      <w:r>
        <w:t xml:space="preserve">Teilnahme an der Implementierung des Dienstes, der wahrscheinlich die beeinflussen kann</w:t>
      </w:r>
      <w:r>
        <w:t xml:space="preserve"> </w:t>
      </w:r>
      <w:r>
        <w:t xml:space="preserve">Sicherheitsstufe des Serviceinformationssystems.</w:t>
      </w:r>
    </w:p>
    <w:bookmarkEnd w:id="62"/>
    <w:bookmarkStart w:id="63" w:name="X20e127cb2a62f41cc052dfd31dff1a42f3e9906"/>
    <w:p>
      <w:pPr>
        <w:pStyle w:val="Heading2"/>
      </w:pPr>
      <w:r>
        <w:t xml:space="preserve">9.5.Verantwortlichkeiten und Verpflichtungen des Kommandanten</w:t>
      </w:r>
    </w:p>
    <w:p>
      <w:pPr>
        <w:pStyle w:val="FirstParagraph"/>
      </w:pPr>
      <w:r>
        <w:t xml:space="preserve">Der Sponsor hat die folgenden Verpflichtungen als Teil der</w:t>
      </w:r>
      <w:r>
        <w:t xml:space="preserve"> </w:t>
      </w:r>
      <w:r>
        <w:t xml:space="preserve">Service :</w:t>
      </w:r>
    </w:p>
    <w:p>
      <w:pPr>
        <w:numPr>
          <w:ilvl w:val="0"/>
          <w:numId w:val="1026"/>
        </w:numPr>
      </w:pPr>
      <w:r>
        <w:t xml:space="preserve">Zur Erinnerung stellt der Dienstanbieter dem Sponsor eine Plattform zur Verfügung</w:t>
      </w:r>
      <w:r>
        <w:t xml:space="preserve"> </w:t>
      </w:r>
      <w:r>
        <w:t xml:space="preserve">Ausführung virtueller Maschinen ist die Konfiguration davon</w:t>
      </w:r>
      <w:r>
        <w:t xml:space="preserve"> </w:t>
      </w:r>
      <w:r>
        <w:t xml:space="preserve">Auf Kosten des Sponsors.Jede virtuelle Maschine kann nicht</w:t>
      </w:r>
      <w:r>
        <w:t xml:space="preserve"> </w:t>
      </w:r>
      <w:r>
        <w:t xml:space="preserve">Betrieb ohne zugehörige Schutzrichtlinie.Der Anbieter</w:t>
      </w:r>
      <w:r>
        <w:t xml:space="preserve"> </w:t>
      </w:r>
      <w:r>
        <w:t xml:space="preserve">Definiert automatische Schutzrichtlinien über seine Schnittstellen.</w:t>
      </w:r>
      <w:r>
        <w:t xml:space="preserve"> </w:t>
      </w:r>
      <w:r>
        <w:t xml:space="preserve">Aber es liegt in der Verantwortung des Sponsors für die Aktivierung dieser Richtlinien</w:t>
      </w:r>
      <w:r>
        <w:t xml:space="preserve"> </w:t>
      </w:r>
      <w:r>
        <w:t xml:space="preserve">Sicherung und aktivieren Sie daher virtuelle Maschinen.</w:t>
      </w:r>
    </w:p>
    <w:p>
      <w:pPr>
        <w:numPr>
          <w:ilvl w:val="0"/>
          <w:numId w:val="1026"/>
        </w:numPr>
      </w:pPr>
      <w:r>
        <w:t xml:space="preserve">Der Sponsor autorisiert die Organisation ANSSI und die SNC Qualification Organization</w:t>
      </w:r>
      <w:r>
        <w:t xml:space="preserve"> </w:t>
      </w:r>
      <w:r>
        <w:t xml:space="preserve">Um den Service und die technische Infrastruktur zu prüfen, die die liefern</w:t>
      </w:r>
      <w:r>
        <w:t xml:space="preserve"> </w:t>
      </w:r>
      <w:r>
        <w:t xml:space="preserve">Service.</w:t>
      </w:r>
    </w:p>
    <w:p>
      <w:pPr>
        <w:numPr>
          <w:ilvl w:val="0"/>
          <w:numId w:val="1026"/>
        </w:numPr>
      </w:pPr>
      <w:r>
        <w:t xml:space="preserve">Der Sponsor ist dafür verantwortlich, dem Anbieter den Anbieter anzuzeigen</w:t>
      </w:r>
      <w:r>
        <w:t xml:space="preserve"> </w:t>
      </w:r>
      <w:r>
        <w:t xml:space="preserve">Alle spezifischen sektoralen Anforderungen, die mit Typen verbunden sind</w:t>
      </w:r>
      <w:r>
        <w:t xml:space="preserve"> </w:t>
      </w:r>
      <w:r>
        <w:t xml:space="preserve">Informationen, die vom Sponsor betraut sind und sein müssen</w:t>
      </w:r>
      <w:r>
        <w:t xml:space="preserve"> </w:t>
      </w:r>
      <w:r>
        <w:t xml:space="preserve">berücksichtigt vom Dienstanbieter.</w:t>
      </w:r>
    </w:p>
    <w:p>
      <w:pPr>
        <w:numPr>
          <w:ilvl w:val="0"/>
          <w:numId w:val="1026"/>
        </w:numPr>
      </w:pPr>
      <w:r>
        <w:t xml:space="preserve">Der Sponsor erklärt sich ein, den Anbieter von nicht zu fragen</w:t>
      </w:r>
      <w:r>
        <w:t xml:space="preserve"> </w:t>
      </w:r>
      <w:r>
        <w:t xml:space="preserve">Anforderungen oder Maßnahmen, die vom Dienstleister aus den Anforderungen von abgewiesen wurden</w:t>
      </w:r>
      <w:r>
        <w:t xml:space="preserve"> </w:t>
      </w:r>
      <w:r>
        <w:t xml:space="preserve">Seclumcloud Repository in seiner aktuellen Version eines Teils oder</w:t>
      </w:r>
      <w:r>
        <w:t xml:space="preserve"> </w:t>
      </w:r>
      <w:r>
        <w:t xml:space="preserve">Senkung des Sicherheitsniveaus, der durch Einhaltung der Anforderungen von festgelegt wurde</w:t>
      </w:r>
      <w:r>
        <w:t xml:space="preserve"> </w:t>
      </w:r>
      <w:r>
        <w:t xml:space="preserve">Das gleiche Repository hingegen.</w:t>
      </w:r>
      <w:r>
        <w:t xml:space="preserve"> </w:t>
      </w:r>
      <w:r>
        <w:t xml:space="preserve">## 9.6.Befehlshaberrechte</w:t>
      </w:r>
    </w:p>
    <w:p>
      <w:pPr>
        <w:pStyle w:val="FirstParagraph"/>
      </w:pPr>
      <w:r>
        <w:t xml:space="preserve">Während der vertraglichen Beziehung jederzeit der Sponsor</w:t>
      </w:r>
      <w:r>
        <w:t xml:space="preserve"> </w:t>
      </w:r>
      <w:r>
        <w:t xml:space="preserve">kann eine Beschwerde über den qualifizierten Service mit einreichen</w:t>
      </w:r>
      <w:r>
        <w:t xml:space="preserve"> </w:t>
      </w:r>
      <w:r>
        <w:t xml:space="preserve">Anssi.</w:t>
      </w:r>
    </w:p>
    <w:p>
      <w:pPr>
        <w:pStyle w:val="BodyText"/>
      </w:pPr>
      <w:r>
        <w:t xml:space="preserve">Der Sponsor kann den Dienstleister jederzeit dazu bitten</w:t>
      </w:r>
      <w:r>
        <w:t xml:space="preserve"> </w:t>
      </w:r>
      <w:r>
        <w:t xml:space="preserve">Machen Sie seine internen Vorschriften und seine Ethikcharter zugänglich.</w:t>
      </w:r>
    </w:p>
    <w:bookmarkEnd w:id="63"/>
    <w:bookmarkStart w:id="64" w:name="datenlöschung-am-ende-des-vertrags"/>
    <w:p>
      <w:pPr>
        <w:pStyle w:val="Heading2"/>
      </w:pPr>
      <w:r>
        <w:t xml:space="preserve">9.7.Datenlöschung am Ende des Vertrags</w:t>
      </w:r>
    </w:p>
    <w:p>
      <w:pPr>
        <w:pStyle w:val="FirstParagraph"/>
      </w:pPr>
      <w:r>
        <w:t xml:space="preserve">Am Ende des Vertrags, ob er übereinstimmt oder beendet wird</w:t>
      </w:r>
      <w:r>
        <w:t xml:space="preserve"> </w:t>
      </w:r>
      <w:r>
        <w:t xml:space="preserve">Was auch immer der Grund ist, der Dienstleister verpflichtet sich, weiterzumachen</w:t>
      </w:r>
      <w:r>
        <w:t xml:space="preserve"> </w:t>
      </w:r>
      <w:r>
        <w:t xml:space="preserve">Die sichere Löschung aller Daten des Sponsors,</w:t>
      </w:r>
      <w:r>
        <w:t xml:space="preserve"> </w:t>
      </w:r>
      <w:r>
        <w:t xml:space="preserve">einschließlich technischer Daten.Der Dienstanbieter sorgt dafür</w:t>
      </w:r>
      <w:r>
        <w:t xml:space="preserve"> </w:t>
      </w:r>
      <w:r>
        <w:t xml:space="preserve">dem Sponsor eine formelle Mitteilung, die eine Zeit von einundzwanzigem Zeitraum respektiert</w:t>
      </w:r>
      <w:r>
        <w:t xml:space="preserve"> </w:t>
      </w:r>
      <w:r>
        <w:t xml:space="preserve">(21) Kalendertage.Die Daten des Sponsors werden dann sein</w:t>
      </w:r>
      <w:r>
        <w:t xml:space="preserve"> </w:t>
      </w:r>
      <w:r>
        <w:t xml:space="preserve">innerhalb maximal dreißig (30) Tage davon gelöscht</w:t>
      </w:r>
      <w:r>
        <w:t xml:space="preserve"> </w:t>
      </w:r>
      <w:r>
        <w:t xml:space="preserve">Benachrichtigung.</w:t>
      </w:r>
    </w:p>
    <w:p>
      <w:pPr>
        <w:pStyle w:val="BodyText"/>
      </w:pPr>
      <w:r>
        <w:t xml:space="preserve">Um diese Löschung zu bezeugen, wird der Anbieter dem geben</w:t>
      </w:r>
      <w:r>
        <w:t xml:space="preserve"> </w:t>
      </w:r>
      <w:r>
        <w:t xml:space="preserve">Sponsern Sie ein Zertifikat, das die Löschung von Daten bestätigt.</w:t>
      </w:r>
    </w:p>
    <w:bookmarkEnd w:id="64"/>
    <w:bookmarkEnd w:id="65"/>
    <w:bookmarkStart w:id="79" w:name="lebenszyklus-dieser-servicevereinbarung"/>
    <w:p>
      <w:pPr>
        <w:pStyle w:val="Heading1"/>
      </w:pPr>
      <w:r>
        <w:t xml:space="preserve">10. Lebenszyklus dieser Servicevereinbarung</w:t>
      </w:r>
    </w:p>
    <w:bookmarkStart w:id="68" w:name="eintritt-der-servicevereinbarung"/>
    <w:p>
      <w:pPr>
        <w:pStyle w:val="Heading2"/>
      </w:pPr>
      <w:r>
        <w:t xml:space="preserve">10.1.Eintritt der Servicevereinbarung</w:t>
      </w:r>
    </w:p>
    <w:p>
      <w:pPr>
        <w:pStyle w:val="FirstParagraph"/>
      </w:pPr>
      <w:r>
        <w:t xml:space="preserve">Diese Servicevereinbarung ist in der Tat der Tag ihrer Unterschrift</w:t>
      </w:r>
      <w:r>
        <w:t xml:space="preserve"> </w:t>
      </w:r>
      <w:r>
        <w:t xml:space="preserve">vom Sponsor.</w:t>
      </w:r>
    </w:p>
    <w:p>
      <w:pPr>
        <w:pStyle w:val="BodyText"/>
      </w:pPr>
      <w:r>
        <w:t xml:space="preserve">Sammlung, Handhabung, Speicherung und Datenverarbeitung</w:t>
      </w:r>
      <w:r>
        <w:t xml:space="preserve"> </w:t>
      </w:r>
      <w:r>
        <w:t xml:space="preserve">Fakten im Rahmen des Vorverkaufs, der Umsetzung, des Urteils der</w:t>
      </w:r>
      <w:r>
        <w:t xml:space="preserve"> </w:t>
      </w:r>
      <w:r>
        <w:t xml:space="preserve">Der Dienst entspricht den geltenden Gesetzen.</w:t>
      </w:r>
      <w:r>
        <w:t xml:space="preserve"> </w:t>
      </w:r>
      <w:r>
        <w:t xml:space="preserve">## 10.2.Entwicklungen im Servicevertrag</w:t>
      </w:r>
    </w:p>
    <w:p>
      <w:pPr>
        <w:pStyle w:val="BodyText"/>
      </w:pPr>
      <w:r>
        <w:t xml:space="preserve">Änderungen oder Ergänzungen dieser Servicevereinbarung</w:t>
      </w:r>
      <w:r>
        <w:t xml:space="preserve"> </w:t>
      </w:r>
      <w:r>
        <w:t xml:space="preserve">Ergebnis ausschließlich aus Anfragen, die von den Organen von formuliert wurden</w:t>
      </w:r>
      <w:r>
        <w:t xml:space="preserve"> </w:t>
      </w:r>
      <w:r>
        <w:t xml:space="preserve">Governance für diesen Zweck benannt.Diese Änderungsvorschläge werden sein</w:t>
      </w:r>
      <w:r>
        <w:t xml:space="preserve"> </w:t>
      </w:r>
      <w:r>
        <w:t xml:space="preserve">Von den Parteien untersucht und berechtigt, die Aspekte zu bestimmen</w:t>
      </w:r>
      <w:r>
        <w:t xml:space="preserve"> </w:t>
      </w:r>
      <w:r>
        <w:t xml:space="preserve">schriftliche Formalisierung erfordert.</w:t>
      </w:r>
    </w:p>
    <w:p>
      <w:pPr>
        <w:pStyle w:val="BodyText"/>
      </w:pPr>
      <w:r>
        <w:t xml:space="preserve">Es ist vereinbart, dass jede Entwicklung des Dienstvertrags danach</w:t>
      </w:r>
      <w:r>
        <w:t xml:space="preserve"> </w:t>
      </w:r>
      <w:r>
        <w:t xml:space="preserve">Validierung, die die ursprünglich festgelegten finanziellen Bedingungen verändert,</w:t>
      </w:r>
      <w:r>
        <w:t xml:space="preserve"> </w:t>
      </w:r>
      <w:r>
        <w:t xml:space="preserve">Erfordern die Einrichtung und die Unterzeichnung einer Änderung des Vertrags in</w:t>
      </w:r>
      <w:r>
        <w:t xml:space="preserve"> </w:t>
      </w:r>
      <w:r>
        <w:t xml:space="preserve">Kurs.</w:t>
      </w:r>
    </w:p>
    <w:p>
      <w:pPr>
        <w:pStyle w:val="BodyText"/>
      </w:pPr>
      <w:r>
        <w:t xml:space="preserve">Die Faktoren, die eine Überarbeitung dieser Servicevereinbarung hervorrufen können</w:t>
      </w:r>
      <w:r>
        <w:t xml:space="preserve"> </w:t>
      </w:r>
      <w:r>
        <w:t xml:space="preserve">Schließen, ohne sich selbst einzuschränken:</w:t>
      </w:r>
    </w:p>
    <w:p>
      <w:pPr>
        <w:pStyle w:val="Compact"/>
        <w:numPr>
          <w:ilvl w:val="0"/>
          <w:numId w:val="1027"/>
        </w:numPr>
      </w:pPr>
      <w:r>
        <w:t xml:space="preserve">die Entwicklung der technischen Infrastruktur, die den IaaS -Service liefert;</w:t>
      </w:r>
    </w:p>
    <w:p>
      <w:pPr>
        <w:pStyle w:val="Compact"/>
        <w:numPr>
          <w:ilvl w:val="0"/>
          <w:numId w:val="1027"/>
        </w:numPr>
      </w:pPr>
      <w:r>
        <w:t xml:space="preserve">Die Anpassungen an die vom Dienstanbieter bereitgestellten Dienste für den Dienst</w:t>
      </w:r>
      <w:r>
        <w:t xml:space="preserve"> </w:t>
      </w:r>
      <w:r>
        <w:t xml:space="preserve">Service bieten;</w:t>
      </w:r>
    </w:p>
    <w:p>
      <w:pPr>
        <w:pStyle w:val="Compact"/>
        <w:numPr>
          <w:ilvl w:val="0"/>
          <w:numId w:val="1027"/>
        </w:numPr>
      </w:pPr>
      <w:r>
        <w:t xml:space="preserve">Variationen der vorgenommenen Verpflichtungen und anwendbaren Sanktionen;</w:t>
      </w:r>
    </w:p>
    <w:p>
      <w:pPr>
        <w:pStyle w:val="Compact"/>
        <w:numPr>
          <w:ilvl w:val="0"/>
          <w:numId w:val="1027"/>
        </w:numPr>
      </w:pPr>
      <w:r>
        <w:t xml:space="preserve">Organisatorische Neukonfigurationen innerhalb des Sponsors oder</w:t>
      </w:r>
      <w:r>
        <w:t xml:space="preserve"> </w:t>
      </w:r>
      <w:r>
        <w:t xml:space="preserve">Anbieter;</w:t>
      </w:r>
    </w:p>
    <w:p>
      <w:pPr>
        <w:pStyle w:val="Compact"/>
        <w:numPr>
          <w:ilvl w:val="0"/>
          <w:numId w:val="1027"/>
        </w:numPr>
      </w:pPr>
      <w:r>
        <w:t xml:space="preserve">Erweiterung oder Reduzierung des Dienstleistungsbereichs.</w:t>
      </w:r>
    </w:p>
    <w:p>
      <w:pPr>
        <w:pStyle w:val="FirstParagraph"/>
      </w:pPr>
      <w:r>
        <w:t xml:space="preserve">Die Verwaltung von Versionen und Überarbeitungen des Servicevertrags ist</w:t>
      </w:r>
      <w:r>
        <w:t xml:space="preserve"> </w:t>
      </w:r>
      <w:r>
        <w:t xml:space="preserve">In der Präambel in das Dokument enthalten, um die Überwachung zu erleichtern.</w:t>
      </w:r>
    </w:p>
    <w:bookmarkStart w:id="66" w:name="X7db9de91a5648af85893e318bfbf920f44a57ed"/>
    <w:p>
      <w:pPr>
        <w:pStyle w:val="Heading3"/>
      </w:pPr>
      <w:r>
        <w:t xml:space="preserve">10.2.1.Entwicklungen, die vom Sponsor ausgelöst werden</w:t>
      </w:r>
    </w:p>
    <w:p>
      <w:pPr>
        <w:pStyle w:val="FirstParagraph"/>
      </w:pPr>
      <w:r>
        <w:t xml:space="preserve">Entwicklungen in der Servicevereinbarung können insbesondere.</w:t>
      </w:r>
      <w:r>
        <w:t xml:space="preserve"> </w:t>
      </w:r>
      <w:r>
        <w:t xml:space="preserve">Für Herkunft:</w:t>
      </w:r>
    </w:p>
    <w:p>
      <w:pPr>
        <w:numPr>
          <w:ilvl w:val="0"/>
          <w:numId w:val="1028"/>
        </w:numPr>
      </w:pPr>
      <w:r>
        <w:t xml:space="preserve">eine Entwicklung der vom Anbieter verwalteten Infrastruktur;</w:t>
      </w:r>
    </w:p>
    <w:p>
      <w:pPr>
        <w:numPr>
          <w:ilvl w:val="0"/>
          <w:numId w:val="1028"/>
        </w:numPr>
      </w:pPr>
      <w:r>
        <w:t xml:space="preserve">eine Änderung der vom Dienstanbieter implementierten Dienste;</w:t>
      </w:r>
    </w:p>
    <w:p>
      <w:pPr>
        <w:numPr>
          <w:ilvl w:val="0"/>
          <w:numId w:val="1028"/>
        </w:numPr>
      </w:pPr>
      <w:r>
        <w:t xml:space="preserve">Eine Änderung der Verpflichtungen der Serviceebene durch die</w:t>
      </w:r>
      <w:r>
        <w:t xml:space="preserve"> </w:t>
      </w:r>
      <w:r>
        <w:t xml:space="preserve">Anbieter.</w:t>
      </w:r>
    </w:p>
    <w:bookmarkEnd w:id="66"/>
    <w:bookmarkStart w:id="67" w:name="entwicklungen-vom-anbieter-ausgelöst"/>
    <w:p>
      <w:pPr>
        <w:pStyle w:val="Heading3"/>
      </w:pPr>
      <w:r>
        <w:t xml:space="preserve">10.2.2.Entwicklungen vom Anbieter ausgelöst</w:t>
      </w:r>
    </w:p>
    <w:p>
      <w:pPr>
        <w:pStyle w:val="FirstParagraph"/>
      </w:pPr>
      <w:r>
        <w:t xml:space="preserve">Jede Änderung des Servicevertrags unterliegt der Annahme</w:t>
      </w:r>
      <w:r>
        <w:t xml:space="preserve"> </w:t>
      </w:r>
      <w:r>
        <w:t xml:space="preserve">des Sponsors.Es wird davon ausgegangen, dass Änderungen oder Komplemente</w:t>
      </w:r>
      <w:r>
        <w:t xml:space="preserve"> </w:t>
      </w:r>
      <w:r>
        <w:t xml:space="preserve">Validierte Änderung der finanziellen Elemente des Vertrags kann beinhalten</w:t>
      </w:r>
      <w:r>
        <w:t xml:space="preserve"> </w:t>
      </w:r>
      <w:r>
        <w:t xml:space="preserve">die Unterschrift eines Änderungsantrags.</w:t>
      </w:r>
    </w:p>
    <w:bookmarkEnd w:id="67"/>
    <w:bookmarkEnd w:id="68"/>
    <w:bookmarkStart w:id="69" w:name="reversibilität"/>
    <w:p>
      <w:pPr>
        <w:pStyle w:val="Heading2"/>
      </w:pPr>
      <w:r>
        <w:t xml:space="preserve">10.3.Reversibilität</w:t>
      </w:r>
    </w:p>
    <w:p>
      <w:pPr>
        <w:pStyle w:val="FirstParagraph"/>
      </w:pPr>
      <w:r>
        <w:t xml:space="preserve">De plus, Cloud Temple s’engage à permettre une révision de la présente</w:t>
      </w:r>
      <w:r>
        <w:t xml:space="preserve"> </w:t>
      </w:r>
      <w:r>
        <w:t xml:space="preserve">Convention de service (prévoyant notamment sa résiliation) sans pénalité</w:t>
      </w:r>
      <w:r>
        <w:t xml:space="preserve"> </w:t>
      </w:r>
      <w:r>
        <w:t xml:space="preserve">pour le COMMANDITAIRE en cas de perte de la qualification SecNumCloud.</w:t>
      </w:r>
    </w:p>
    <w:p>
      <w:pPr>
        <w:pStyle w:val="BodyText"/>
      </w:pPr>
      <w:r>
        <w:t xml:space="preserve">Les Services ne comprennent pas d’obligation de réversibilité (à savoir,</w:t>
      </w:r>
      <w:r>
        <w:t xml:space="preserve"> </w:t>
      </w:r>
      <w:r>
        <w:t xml:space="preserve">l’aide au COMMANDITAIRE pour qu’il puisse migrer son système vers un</w:t>
      </w:r>
      <w:r>
        <w:t xml:space="preserve"> </w:t>
      </w:r>
      <w:r>
        <w:t xml:space="preserve">autre” Prestataire) à l’exception de la mise à disposition du</w:t>
      </w:r>
      <w:r>
        <w:t xml:space="preserve"> </w:t>
      </w:r>
      <w:r>
        <w:t xml:space="preserve">COMMANDITAIRE par le Prestataire de l’interface COMMANDITAIRE permettant</w:t>
      </w:r>
      <w:r>
        <w:t xml:space="preserve"> </w:t>
      </w:r>
      <w:r>
        <w:t xml:space="preserve">Der Sponsor, um seine Daten einschließlich der Daten zu speichern und wiederherzustellen</w:t>
      </w:r>
      <w:r>
        <w:t xml:space="preserve"> </w:t>
      </w:r>
      <w:r>
        <w:t xml:space="preserve">Insbesondere Konfigurationsdaten ihres Informationssystems über</w:t>
      </w:r>
      <w:r>
        <w:t xml:space="preserve"> </w:t>
      </w:r>
      <w:r>
        <w:t xml:space="preserve">Einer der folgenden technischen Begriffe für die Wahl des Sponsors: die</w:t>
      </w:r>
      <w:r>
        <w:t xml:space="preserve"> </w:t>
      </w:r>
      <w:r>
        <w:t xml:space="preserve">Bereitstellung von Dateien gemäß einem oder mehreren Formaten</w:t>
      </w:r>
      <w:r>
        <w:t xml:space="preserve"> </w:t>
      </w:r>
      <w:r>
        <w:t xml:space="preserve">dokumentiert und nutzbar außerhalb des von der bereitgestellten Dienstes</w:t>
      </w:r>
      <w:r>
        <w:t xml:space="preserve"> </w:t>
      </w:r>
      <w:r>
        <w:t xml:space="preserve">Anbieter oder über die Implementierung technischer Schnittstellen</w:t>
      </w:r>
      <w:r>
        <w:t xml:space="preserve"> </w:t>
      </w:r>
      <w:r>
        <w:t xml:space="preserve">Erlauben Sie den Datenzugriff gemäß einem dokumentierten und</w:t>
      </w:r>
      <w:r>
        <w:t xml:space="preserve"> </w:t>
      </w:r>
      <w:r>
        <w:t xml:space="preserve">Nutzbar (API).</w:t>
      </w:r>
      <w:r>
        <w:t xml:space="preserve"> </w:t>
      </w:r>
      <w:r>
        <w:t xml:space="preserve">Der Sponsor, der einzige Meister seines Systems, muss alles tun</w:t>
      </w:r>
      <w:r>
        <w:t xml:space="preserve"> </w:t>
      </w:r>
      <w:r>
        <w:t xml:space="preserve">diesen Vorgang nach Bedarf zu erleichtern (was impliziert,</w:t>
      </w:r>
      <w:r>
        <w:t xml:space="preserve"> </w:t>
      </w:r>
      <w:r>
        <w:t xml:space="preserve">insbesondere, dass es diese strenge Dokumentation darstellt</w:t>
      </w:r>
      <w:r>
        <w:t xml:space="preserve"> </w:t>
      </w:r>
      <w:r>
        <w:t xml:space="preserve">Effekt) und die Entwicklung von Reversibilitätsplänen.Für den Fall, dass der</w:t>
      </w:r>
      <w:r>
        <w:t xml:space="preserve"> </w:t>
      </w:r>
      <w:r>
        <w:t xml:space="preserve">Der Sponsor würde einen zusätzlichen Service benötigen, die</w:t>
      </w:r>
      <w:r>
        <w:t xml:space="preserve"> </w:t>
      </w:r>
      <w:r>
        <w:t xml:space="preserve">Der Anbieter kann diesbezüglich eine Beratungsmission in der vorschlagen</w:t>
      </w:r>
      <w:r>
        <w:t xml:space="preserve"> </w:t>
      </w:r>
      <w:r>
        <w:t xml:space="preserve">Rahmen eines bestimmten Vertrags zu verhandeln.</w:t>
      </w:r>
      <w:r>
        <w:t xml:space="preserve"> </w:t>
      </w:r>
      <w:r>
        <w:t xml:space="preserve"># 11. Verfügbarkeit, Kontinuität und Wiederherstellung des Dienstes</w:t>
      </w:r>
    </w:p>
    <w:bookmarkEnd w:id="69"/>
    <w:bookmarkStart w:id="74" w:name="X7eb69c5d0956521f7e87635565dc9d5a4a55bc7"/>
    <w:p>
      <w:pPr>
        <w:pStyle w:val="Heading2"/>
      </w:pPr>
      <w:r>
        <w:t xml:space="preserve">11.1.Verwaltung von Vorfällen und Unterbrechungen</w:t>
      </w:r>
    </w:p>
    <w:bookmarkStart w:id="70" w:name="vorfälle"/>
    <w:p>
      <w:pPr>
        <w:pStyle w:val="Heading3"/>
      </w:pPr>
      <w:r>
        <w:t xml:space="preserve">11.1.1.Vorfälle</w:t>
      </w:r>
    </w:p>
    <w:bookmarkEnd w:id="70"/>
    <w:bookmarkStart w:id="71" w:name="X1495fd50aea0893fa213d0a06ebcfad20a96337"/>
    <w:p>
      <w:pPr>
        <w:pStyle w:val="Heading3"/>
      </w:pPr>
      <w:r>
        <w:t xml:space="preserve">11.1.1.1.Arten von Vorfällen, die im Rahmen dieser Servicevereinbarung behandelt werden</w:t>
      </w:r>
    </w:p>
    <w:p>
      <w:pPr>
        <w:numPr>
          <w:ilvl w:val="0"/>
          <w:numId w:val="1029"/>
        </w:numPr>
      </w:pPr>
      <w:r>
        <w:t xml:space="preserve">Ansprüche;</w:t>
      </w:r>
    </w:p>
    <w:p>
      <w:pPr>
        <w:numPr>
          <w:ilvl w:val="0"/>
          <w:numId w:val="1029"/>
        </w:numPr>
      </w:pPr>
      <w:r>
        <w:t xml:space="preserve">Aufschlüsse und Misserfolge;</w:t>
      </w:r>
    </w:p>
    <w:p>
      <w:pPr>
        <w:numPr>
          <w:ilvl w:val="0"/>
          <w:numId w:val="1029"/>
        </w:numPr>
      </w:pPr>
      <w:r>
        <w:t xml:space="preserve">Sicherheitsvorfälle für die Verfügbarkeit, Vertraulichkeit</w:t>
      </w:r>
      <w:r>
        <w:t xml:space="preserve"> </w:t>
      </w:r>
      <w:r>
        <w:t xml:space="preserve">oder die Integrität des Dienstes.</w:t>
      </w:r>
    </w:p>
    <w:bookmarkEnd w:id="71"/>
    <w:bookmarkStart w:id="73" w:name="vorfallbehandlung"/>
    <w:p>
      <w:pPr>
        <w:pStyle w:val="Heading3"/>
      </w:pPr>
      <w:r>
        <w:t xml:space="preserve">11.1.1.2.Vorfallbehandlung</w:t>
      </w:r>
    </w:p>
    <w:p>
      <w:pPr>
        <w:pStyle w:val="BlockText"/>
      </w:pPr>
      <w:r>
        <w:t xml:space="preserve">Der Dienstleister informiert den Sponsor so schnell wie möglich,</w:t>
      </w:r>
      <w:r>
        <w:t xml:space="preserve"> </w:t>
      </w:r>
      <w:r>
        <w:t xml:space="preserve">incidents et interruptions, au moyen d’une une notification dans la</w:t>
      </w:r>
      <w:r>
        <w:t xml:space="preserve"> </w:t>
      </w:r>
      <w:r>
        <w:t xml:space="preserve">console COMMANDITAIRE ou par courriel au contact COMMANDITAIRE. Le</w:t>
      </w:r>
      <w:r>
        <w:t xml:space="preserve"> </w:t>
      </w:r>
      <w:r>
        <w:t xml:space="preserve">Prestataire informe le COMMANDITAIRE du traitement de l’incident par</w:t>
      </w:r>
      <w:r>
        <w:t xml:space="preserve"> </w:t>
      </w:r>
      <w:r>
        <w:t xml:space="preserve">le canal utilisé pour notifier l’incident, ou par le canal indiqué</w:t>
      </w:r>
      <w:r>
        <w:t xml:space="preserve"> </w:t>
      </w:r>
      <w:r>
        <w:t xml:space="preserve">dans la notification de l’incident.</w:t>
      </w:r>
    </w:p>
    <w:bookmarkStart w:id="72" w:name="Xeb929a0da4e9b00835955d0c87c65ba42f13abf"/>
    <w:p>
      <w:pPr>
        <w:pStyle w:val="Heading4"/>
      </w:pPr>
      <w:r>
        <w:t xml:space="preserve">11.1.1.3. Niveau de notification des Incidents de sécurité</w:t>
      </w:r>
    </w:p>
    <w:p>
      <w:pPr>
        <w:pStyle w:val="FirstParagraph"/>
      </w:pPr>
      <w:r>
        <w:t xml:space="preserve">Le COMMANDITAIRE a la responsabilité de choisir les niveaux de gravité</w:t>
      </w:r>
      <w:r>
        <w:t xml:space="preserve"> </w:t>
      </w:r>
      <w:r>
        <w:t xml:space="preserve">Sicherheitsvorfälle, für die er informiert werden möchte, von</w:t>
      </w:r>
      <w:r>
        <w:t xml:space="preserve"> </w:t>
      </w:r>
      <w:r>
        <w:t xml:space="preserve">Beispiel über ihre Formalisierung in einem Schritt, der auf den Dienst gilt.</w:t>
      </w:r>
    </w:p>
    <w:p>
      <w:pPr>
        <w:pStyle w:val="BodyText"/>
      </w:pPr>
      <w:r>
        <w:t xml:space="preserve">Standardmäßig wird der Sponsor informiert:</w:t>
      </w:r>
    </w:p>
    <w:p>
      <w:pPr>
        <w:numPr>
          <w:ilvl w:val="0"/>
          <w:numId w:val="1030"/>
        </w:numPr>
      </w:pPr>
      <w:r>
        <w:t xml:space="preserve">Impact -Sicherheitsvorfälle (Auswirkungen von i1 und i2 nach Auswirkungen von Sicherheitsgründen nach</w:t>
      </w:r>
      <w:r>
        <w:t xml:space="preserve"> </w:t>
      </w:r>
      <w:r>
        <w:t xml:space="preserve">Die im Prozess der Priorisierung definierte Wirkungsskala</w:t>
      </w:r>
      <w:r>
        <w:t xml:space="preserve"> </w:t>
      </w:r>
      <w:r>
        <w:t xml:space="preserve">Behandlungen dieses Dienstvertrags);</w:t>
      </w:r>
    </w:p>
    <w:p>
      <w:pPr>
        <w:numPr>
          <w:ilvl w:val="0"/>
          <w:numId w:val="1030"/>
        </w:numPr>
      </w:pPr>
      <w:r>
        <w:t xml:space="preserve">Sicherheitsvorfälle, die sich auf die Vertraulichkeit oder Integrität auswirken</w:t>
      </w:r>
      <w:r>
        <w:t xml:space="preserve"> </w:t>
      </w:r>
      <w:r>
        <w:t xml:space="preserve">Daten des Sponsors, die im Rahmen des Dienstes betraut sind;</w:t>
      </w:r>
    </w:p>
    <w:p>
      <w:pPr>
        <w:numPr>
          <w:ilvl w:val="0"/>
          <w:numId w:val="1030"/>
        </w:numPr>
      </w:pPr>
      <w:r>
        <w:t xml:space="preserve">Verstöße gegen personenbezogene Daten, für die die</w:t>
      </w:r>
      <w:r>
        <w:t xml:space="preserve"> </w:t>
      </w:r>
      <w:r>
        <w:t xml:space="preserve">Der Sponsor ist für die Behandlung gemäß Artikel 8 verantwortlich</w:t>
      </w:r>
      <w:r>
        <w:t xml:space="preserve"> </w:t>
      </w:r>
      <w:r>
        <w:t xml:space="preserve">des DPA -Anhangs als Teil des Dienstes;</w:t>
      </w:r>
    </w:p>
    <w:bookmarkEnd w:id="72"/>
    <w:bookmarkEnd w:id="73"/>
    <w:bookmarkEnd w:id="74"/>
    <w:bookmarkStart w:id="78" w:name="X1c12409c7455bf049908510a2f097182eeeffb3"/>
    <w:p>
      <w:pPr>
        <w:pStyle w:val="Heading2"/>
      </w:pPr>
      <w:r>
        <w:t xml:space="preserve">Verstöße gegen personenbezogene Daten, für die der Dienstanbieter für die Verarbeitung und die personenbezogene Daten des Sponsors verantwortlich ist, gemäß Artikel 8 des Anhangs DPA.11.2.Servicewartung</w:t>
      </w:r>
    </w:p>
    <w:bookmarkStart w:id="75" w:name="wartungs-natur"/>
    <w:p>
      <w:pPr>
        <w:pStyle w:val="Heading3"/>
      </w:pPr>
      <w:r>
        <w:t xml:space="preserve">11.2.1.Wartungs Natur</w:t>
      </w:r>
    </w:p>
    <w:p>
      <w:pPr>
        <w:pStyle w:val="FirstParagraph"/>
      </w:pPr>
      <w:r>
        <w:t xml:space="preserve">Die garantierte Wartung besteht in der Implementierung:</w:t>
      </w:r>
    </w:p>
    <w:p>
      <w:pPr>
        <w:numPr>
          <w:ilvl w:val="0"/>
          <w:numId w:val="1031"/>
        </w:numPr>
      </w:pPr>
      <w:r>
        <w:t xml:space="preserve">des Wartungsplans unter Betriebsbedingungen des Dienstes an</w:t>
      </w:r>
      <w:r>
        <w:t xml:space="preserve"> </w:t>
      </w:r>
      <w:r>
        <w:t xml:space="preserve">Gewährleisten Sie gute Verfügbarkeitsindikatoren wie die</w:t>
      </w:r>
      <w:r>
        <w:t xml:space="preserve"> </w:t>
      </w:r>
      <w:r>
        <w:t xml:space="preserve">Anbieter oben;</w:t>
      </w:r>
    </w:p>
    <w:p>
      <w:pPr>
        <w:numPr>
          <w:ilvl w:val="0"/>
          <w:numId w:val="1031"/>
        </w:numPr>
      </w:pPr>
      <w:r>
        <w:t xml:space="preserve">des PCA/PRA -Plan</w:t>
      </w:r>
      <w:r>
        <w:t xml:space="preserve"> </w:t>
      </w:r>
      <w:r>
        <w:t xml:space="preserve">Alle Vorfälle, die entstehen würden.</w:t>
      </w:r>
    </w:p>
    <w:bookmarkEnd w:id="75"/>
    <w:bookmarkStart w:id="76" w:name="Xb69e4dd344d216fe7a7cd70b8d37017d3df4f98"/>
    <w:p>
      <w:pPr>
        <w:pStyle w:val="Heading3"/>
      </w:pPr>
      <w:r>
        <w:t xml:space="preserve">11.2.2.Fernzugriff des Cloud -Tempels im Bereich des Sponsors</w:t>
      </w:r>
    </w:p>
    <w:p>
      <w:pPr>
        <w:pStyle w:val="FirstParagraph"/>
      </w:pPr>
      <w:r>
        <w:t xml:space="preserve">Der Dienstanbieter refrains im Rahmen dieser Vereinbarung von</w:t>
      </w:r>
      <w:r>
        <w:t xml:space="preserve"> </w:t>
      </w:r>
      <w:r>
        <w:t xml:space="preserve">Service, alle Zugriff auf die Befürworter und den Raum der Schnittstelle der</w:t>
      </w:r>
      <w:r>
        <w:t xml:space="preserve"> </w:t>
      </w:r>
      <w:r>
        <w:t xml:space="preserve">Sponsor.</w:t>
      </w:r>
    </w:p>
    <w:p>
      <w:pPr>
        <w:pStyle w:val="BodyText"/>
      </w:pPr>
      <w:r>
        <w:t xml:space="preserve">Es wird der Sponsor sein, den notwendigen Zugang zum Personal zu gewähren</w:t>
      </w:r>
      <w:r>
        <w:t xml:space="preserve"> </w:t>
      </w:r>
      <w:r>
        <w:t xml:space="preserve">des Anbieters.Der Sponsor erkennt an, dass der Zugriff verwendet wird</w:t>
      </w:r>
      <w:r>
        <w:t xml:space="preserve"> </w:t>
      </w:r>
      <w:r>
        <w:t xml:space="preserve">als Teil der Unterkunft und letztendlich des Outsourcings (falls abonniert</w:t>
      </w:r>
      <w:r>
        <w:t xml:space="preserve"> </w:t>
      </w:r>
      <w:r>
        <w:t xml:space="preserve">vom Sponsor).</w:t>
      </w:r>
    </w:p>
    <w:bookmarkEnd w:id="76"/>
    <w:bookmarkStart w:id="77" w:name="Xbc6855ebc0f74df188fdfa5da931e4db91a7ebd"/>
    <w:p>
      <w:pPr>
        <w:pStyle w:val="Heading3"/>
      </w:pPr>
      <w:r>
        <w:t xml:space="preserve">11.2.3.Zugang von Dritten, die an der Bereitstellung des Dienstes am Umfang des Sponsors teilnehmen</w:t>
      </w:r>
    </w:p>
    <w:p>
      <w:pPr>
        <w:pStyle w:val="FirstParagraph"/>
      </w:pPr>
      <w:r>
        <w:t xml:space="preserve">Kein entfernter Zugang zu Dritten, die an der Bereitstellung des Dienstes teilnehmen</w:t>
      </w:r>
      <w:r>
        <w:t xml:space="preserve"> </w:t>
      </w:r>
      <w:r>
        <w:t xml:space="preserve">ist nicht erlaubt.</w:t>
      </w:r>
    </w:p>
    <w:p>
      <w:pPr>
        <w:pStyle w:val="BodyText"/>
      </w:pPr>
      <w:r>
        <w:t xml:space="preserve">Wenn ein technischer Bedarf diesen Fall notwendig machte, dann ist dies erforderlich</w:t>
      </w:r>
      <w:r>
        <w:t xml:space="preserve"> </w:t>
      </w:r>
      <w:r>
        <w:t xml:space="preserve">Die Art des Zugangs würde erst nach Benachrichtigung über den Sponsor durchgeführt</w:t>
      </w:r>
      <w:r>
        <w:t xml:space="preserve"> </w:t>
      </w:r>
      <w:r>
        <w:t xml:space="preserve">Begründung und seine schriftliche Vereinbarung erhalten.</w:t>
      </w:r>
    </w:p>
    <w:bookmarkEnd w:id="77"/>
    <w:bookmarkEnd w:id="78"/>
    <w:bookmarkEnd w:id="79"/>
    <w:bookmarkStart w:id="80" w:name="datenlöschverfahren-am-ende-des-vertrags"/>
    <w:p>
      <w:pPr>
        <w:pStyle w:val="Heading1"/>
      </w:pPr>
      <w:r>
        <w:t xml:space="preserve">12. Datenlöschverfahren am Ende des Vertrags</w:t>
      </w:r>
    </w:p>
    <w:p>
      <w:pPr>
        <w:pStyle w:val="FirstParagraph"/>
      </w:pPr>
      <w:r>
        <w:t xml:space="preserve">Am Ende des Vertrags, unabhängig davon, ob der Vertrag ein Ende erreicht hat oder für</w:t>
      </w:r>
      <w:r>
        <w:t xml:space="preserve"> </w:t>
      </w:r>
      <w:r>
        <w:t xml:space="preserve">jede andere Sache, der Dienstleister versicherte die sichere Löschung von</w:t>
      </w:r>
      <w:r>
        <w:t xml:space="preserve"> </w:t>
      </w:r>
      <w:r>
        <w:t xml:space="preserve">Alle Daten, die im Rahmen des Dienstes verarbeitet wurden, einschließlich</w:t>
      </w:r>
      <w:r>
        <w:t xml:space="preserve"> </w:t>
      </w:r>
      <w:r>
        <w:t xml:space="preserve">Die technischen Daten des Sponsors.Der Anbieter wird a geben</w:t>
      </w:r>
      <w:r>
        <w:t xml:space="preserve"> </w:t>
      </w:r>
      <w:r>
        <w:t xml:space="preserve">formelle Mitteilung während eines Zeitraums von einundzwanzig Tagen (21)</w:t>
      </w:r>
      <w:r>
        <w:t xml:space="preserve"> </w:t>
      </w:r>
      <w:r>
        <w:t xml:space="preserve">Kalender.Die Daten des Sponsors werden in a gelöscht</w:t>
      </w:r>
      <w:r>
        <w:t xml:space="preserve"> </w:t>
      </w:r>
      <w:r>
        <w:t xml:space="preserve">Höchstdauer von dreißig (30) Tag nach der Benachrichtigung.Der Anbieter</w:t>
      </w:r>
      <w:r>
        <w:t xml:space="preserve"> </w:t>
      </w:r>
      <w:r>
        <w:t xml:space="preserve">Bietet dem Sponsor ein Datenlöschzertifikat.</w:t>
      </w:r>
    </w:p>
    <w:bookmarkEnd w:id="80"/>
    <w:bookmarkStart w:id="85" w:name="anwendbares-gesetz"/>
    <w:p>
      <w:pPr>
        <w:pStyle w:val="Heading1"/>
      </w:pPr>
      <w:r>
        <w:t xml:space="preserve">13. anwendbares Gesetz</w:t>
      </w:r>
    </w:p>
    <w:bookmarkStart w:id="81" w:name="allgemein"/>
    <w:p>
      <w:pPr>
        <w:pStyle w:val="Heading2"/>
      </w:pPr>
      <w:r>
        <w:t xml:space="preserve">13.1.Allgemein</w:t>
      </w:r>
    </w:p>
    <w:p>
      <w:pPr>
        <w:pStyle w:val="FirstParagraph"/>
      </w:pPr>
      <w:r>
        <w:t xml:space="preserve">Anwendbares Gesetz und zu denen diese Konvention von</w:t>
      </w:r>
      <w:r>
        <w:t xml:space="preserve"> </w:t>
      </w:r>
      <w:r>
        <w:t xml:space="preserve">Dienst ist französisches Recht.</w:t>
      </w:r>
    </w:p>
    <w:bookmarkEnd w:id="81"/>
    <w:bookmarkStart w:id="82" w:name="X58bf0de357bb566000784e576c843517a21ad3f"/>
    <w:p>
      <w:pPr>
        <w:pStyle w:val="Heading2"/>
      </w:pPr>
      <w:r>
        <w:t xml:space="preserve">13.2.Einhaltung des Gesetzes und der geltenden Vorschriften</w:t>
      </w:r>
    </w:p>
    <w:p>
      <w:pPr>
        <w:pStyle w:val="FirstParagraph"/>
      </w:pPr>
      <w:r>
        <w:t xml:space="preserve">Der Dienstleister beteiligt sich auf die folgenden Punkte:</w:t>
      </w:r>
    </w:p>
    <w:p>
      <w:pPr>
        <w:numPr>
          <w:ilvl w:val="0"/>
          <w:numId w:val="1032"/>
        </w:numPr>
      </w:pPr>
      <w:r>
        <w:t xml:space="preserve">Identifizierung von anwendbaren rechtlichen und regulatorischen Einschränkungen</w:t>
      </w:r>
      <w:r>
        <w:t xml:space="preserve"> </w:t>
      </w:r>
      <w:r>
        <w:t xml:space="preserve">als Teil des Dienstes;</w:t>
      </w:r>
    </w:p>
    <w:p>
      <w:pPr>
        <w:numPr>
          <w:ilvl w:val="0"/>
          <w:numId w:val="1032"/>
        </w:numPr>
      </w:pPr>
      <w:r>
        <w:t xml:space="preserve">Einhaltung gesetzlicher und behördlicher Einschränkungen für die geltenden Einschränkungen</w:t>
      </w:r>
      <w:r>
        <w:t xml:space="preserve"> </w:t>
      </w:r>
      <w:r>
        <w:t xml:space="preserve">Daten, die dem Dienstanbieter innerhalb der Grenzen der Verantwortlichkeiten von anvertraut sind</w:t>
      </w:r>
      <w:r>
        <w:t xml:space="preserve"> </w:t>
      </w:r>
      <w:r>
        <w:t xml:space="preserve">ce dernier d'une part, et des dispositions prévues au Contrat</w:t>
      </w:r>
      <w:r>
        <w:t xml:space="preserve"> </w:t>
      </w:r>
      <w:r>
        <w:t xml:space="preserve">d'autre part.;</w:t>
      </w:r>
    </w:p>
    <w:p>
      <w:pPr>
        <w:numPr>
          <w:ilvl w:val="0"/>
          <w:numId w:val="1032"/>
        </w:numPr>
      </w:pPr>
      <w:r>
        <w:t xml:space="preserve">Le respect de la Loi informatique et liberté et du RGPD ;</w:t>
      </w:r>
    </w:p>
    <w:p>
      <w:pPr>
        <w:numPr>
          <w:ilvl w:val="0"/>
          <w:numId w:val="1032"/>
        </w:numPr>
      </w:pPr>
      <w:r>
        <w:t xml:space="preserve">La mise en œuvre de moyens de protection des données personnelles ;</w:t>
      </w:r>
    </w:p>
    <w:p>
      <w:pPr>
        <w:numPr>
          <w:ilvl w:val="0"/>
          <w:numId w:val="1032"/>
        </w:numPr>
      </w:pPr>
      <w:r>
        <w:t xml:space="preserve">La mise en œuvre d’un processus de veille légale et réglementaire ;</w:t>
      </w:r>
    </w:p>
    <w:p>
      <w:pPr>
        <w:numPr>
          <w:ilvl w:val="0"/>
          <w:numId w:val="1032"/>
        </w:numPr>
      </w:pPr>
      <w:r>
        <w:t xml:space="preserve">De disposer et maintenir des relations appropriées ou une veille avec</w:t>
      </w:r>
      <w:r>
        <w:t xml:space="preserve"> </w:t>
      </w:r>
      <w:r>
        <w:t xml:space="preserve">les autorités sectorielles en lien avec la nature des données traitées</w:t>
      </w:r>
      <w:r>
        <w:t xml:space="preserve"> </w:t>
      </w:r>
      <w:r>
        <w:t xml:space="preserve">als Teil der Dienste.Dies schließt insbesondere das ANSSI, den Cert-FR, ein</w:t>
      </w:r>
      <w:r>
        <w:t xml:space="preserve"> </w:t>
      </w:r>
      <w:r>
        <w:t xml:space="preserve">und der CNIL.</w:t>
      </w:r>
    </w:p>
    <w:bookmarkEnd w:id="82"/>
    <w:bookmarkStart w:id="83" w:name="gdpr"/>
    <w:p>
      <w:pPr>
        <w:pStyle w:val="Heading2"/>
      </w:pPr>
      <w:r>
        <w:t xml:space="preserve">13.3.GDPR</w:t>
      </w:r>
    </w:p>
    <w:p>
      <w:pPr>
        <w:pStyle w:val="FirstParagraph"/>
      </w:pPr>
      <w:r>
        <w:t xml:space="preserve">Als Subunternehmer im Sinne von Artikel 28 der Subunternehmer fungieren</w:t>
      </w:r>
      <w:r>
        <w:t xml:space="preserve"> </w:t>
      </w:r>
      <w:r>
        <w:t xml:space="preserve">Allgemeine Datenschutzbestimmungen (DSGVO), der Dienstleister</w:t>
      </w:r>
      <w:r>
        <w:t xml:space="preserve"> </w:t>
      </w:r>
      <w:r>
        <w:t xml:space="preserve">Sich engagieren:</w:t>
      </w:r>
    </w:p>
    <w:p>
      <w:pPr>
        <w:numPr>
          <w:ilvl w:val="0"/>
          <w:numId w:val="1033"/>
        </w:numPr>
      </w:pPr>
      <w:r>
        <w:t xml:space="preserve">Transparenz und Rückverfolgbarkeit sicherzustellen;</w:t>
      </w:r>
    </w:p>
    <w:p>
      <w:pPr>
        <w:numPr>
          <w:ilvl w:val="0"/>
          <w:numId w:val="1033"/>
        </w:numPr>
      </w:pPr>
      <w:r>
        <w:t xml:space="preserve">Um einen DPO zu bezeichnen, der für die Definition und Implementierung der Maßnahmen zuständig ist</w:t>
      </w:r>
      <w:r>
        <w:t xml:space="preserve"> </w:t>
      </w:r>
      <w:r>
        <w:t xml:space="preserve">Schutz personenbezogener Daten;</w:t>
      </w:r>
    </w:p>
    <w:p>
      <w:pPr>
        <w:numPr>
          <w:ilvl w:val="0"/>
          <w:numId w:val="1033"/>
        </w:numPr>
      </w:pPr>
      <w:r>
        <w:t xml:space="preserve">Bieten Sie dem Sponsor bei der Alarminstallation Unterstützung und Beratung, wenn</w:t>
      </w:r>
      <w:r>
        <w:t xml:space="preserve"> </w:t>
      </w:r>
      <w:r>
        <w:t xml:space="preserve">Eine Untersuchung des letzteren stellt einen Verstoß gegen die Regeln von dar</w:t>
      </w:r>
      <w:r>
        <w:t xml:space="preserve"> </w:t>
      </w:r>
      <w:r>
        <w:t xml:space="preserve">Schutz personenbezogener Daten, wenn der Dienstleister über die Mittel verfügt von</w:t>
      </w:r>
      <w:r>
        <w:t xml:space="preserve"> </w:t>
      </w:r>
      <w:r>
        <w:t xml:space="preserve">Identifizieren;</w:t>
      </w:r>
    </w:p>
    <w:p>
      <w:pPr>
        <w:numPr>
          <w:ilvl w:val="0"/>
          <w:numId w:val="1033"/>
        </w:numPr>
      </w:pPr>
      <w:r>
        <w:t xml:space="preserve">Eine Sicherheitsgarantie für die verarbeiteten Daten (aufgrund der</w:t>
      </w:r>
      <w:r>
        <w:t xml:space="preserve"> </w:t>
      </w:r>
      <w:r>
        <w:t xml:space="preserve">Qualifikation Secnumcloud).</w:t>
      </w:r>
    </w:p>
    <w:bookmarkEnd w:id="83"/>
    <w:bookmarkStart w:id="84" w:name="X4fe14f2887e187289b1854ab50729c9c97de057"/>
    <w:p>
      <w:pPr>
        <w:pStyle w:val="Heading2"/>
      </w:pPr>
      <w:r>
        <w:t xml:space="preserve">13.4.Schutz in Bezug auf das außereuropäische Recht</w:t>
      </w:r>
    </w:p>
    <w:p>
      <w:pPr>
        <w:pStyle w:val="FirstParagraph"/>
      </w:pPr>
      <w:r>
        <w:t xml:space="preserve">Der Statuensitz des Dienstleisters ist innerhalb eines Mitgliedstaates eingerichtet</w:t>
      </w:r>
      <w:r>
        <w:t xml:space="preserve"> </w:t>
      </w:r>
      <w:r>
        <w:t xml:space="preserve">der Europäischen Union.Aktienkapital und Stimmrechte in der</w:t>
      </w:r>
      <w:r>
        <w:t xml:space="preserve"> </w:t>
      </w:r>
      <w:r>
        <w:t xml:space="preserve">Dienstleister sind weder direkt noch indirekt:</w:t>
      </w:r>
    </w:p>
    <w:p>
      <w:pPr>
        <w:numPr>
          <w:ilvl w:val="0"/>
          <w:numId w:val="1034"/>
        </w:numPr>
      </w:pPr>
      <w:r>
        <w:t xml:space="preserve">individuell mehr als 24%;</w:t>
      </w:r>
    </w:p>
    <w:p>
      <w:pPr>
        <w:numPr>
          <w:ilvl w:val="0"/>
          <w:numId w:val="1034"/>
        </w:numPr>
      </w:pPr>
      <w:r>
        <w:t xml:space="preserve">und hielt zusammen mehr als 39%;</w:t>
      </w:r>
    </w:p>
    <w:p>
      <w:pPr>
        <w:pStyle w:val="FirstParagraph"/>
      </w:pPr>
      <w:r>
        <w:t xml:space="preserve">von dritt -partistischen Einheiten mit ihrem gesetzlichen Hauptsitz, Verwaltung</w:t>
      </w:r>
      <w:r>
        <w:t xml:space="preserve"> </w:t>
      </w:r>
      <w:r>
        <w:t xml:space="preserve">Zentral- oder Haupteinrichtung innerhalb eines Nicht -Mitglieds von</w:t>
      </w:r>
      <w:r>
        <w:t xml:space="preserve"> </w:t>
      </w:r>
      <w:r>
        <w:t xml:space="preserve">die Europäische Union.</w:t>
      </w:r>
    </w:p>
    <w:p>
      <w:pPr>
        <w:pStyle w:val="BodyText"/>
      </w:pPr>
      <w:r>
        <w:t xml:space="preserve">Im Berufungsrecht durch den Dienstleister als Teil des Dienstes,</w:t>
      </w:r>
      <w:r>
        <w:t xml:space="preserve"> </w:t>
      </w:r>
      <w:r>
        <w:t xml:space="preserve">eine dritte Partnerfirma - einschließlich eines Subunternehmers - haben</w:t>
      </w:r>
      <w:r>
        <w:t xml:space="preserve"> </w:t>
      </w:r>
      <w:r>
        <w:t xml:space="preserve">sein gesetzlicher Hauptsitz, die zentrale Verwaltung oder die Haupteinrichtung</w:t>
      </w:r>
      <w:r>
        <w:t xml:space="preserve"> </w:t>
      </w:r>
      <w:r>
        <w:t xml:space="preserve">Innerhalb eines nicht -Mitgliedszustandes der Europäischen Union oder der Zugehörigkeit oder</w:t>
      </w:r>
      <w:r>
        <w:t xml:space="preserve"> </w:t>
      </w:r>
      <w:r>
        <w:t xml:space="preserve">kontrolliert von einem drittparty -Unternehmen, der außerhalb der Gewerkschaft eingestellt ist</w:t>
      </w:r>
      <w:r>
        <w:t xml:space="preserve"> </w:t>
      </w:r>
      <w:r>
        <w:t xml:space="preserve">Europäer, der Anbieter ist begangen:</w:t>
      </w:r>
    </w:p>
    <w:p>
      <w:pPr>
        <w:numPr>
          <w:ilvl w:val="0"/>
          <w:numId w:val="1035"/>
        </w:numPr>
      </w:pPr>
      <w:r>
        <w:t xml:space="preserve">dass dies über -mentioned Third Company keinen Zugang zu Zugang hat</w:t>
      </w:r>
      <w:r>
        <w:t xml:space="preserve"> </w:t>
      </w:r>
      <w:r>
        <w:t xml:space="preserve">Daten, die durch den Dienst</w:t>
      </w:r>
      <w:r>
        <w:t xml:space="preserve"> </w:t>
      </w:r>
      <w:r>
        <w:t xml:space="preserve">“sicherer Tempel”</w:t>
      </w:r>
      <w:r>
        <w:t xml:space="preserve"> </w:t>
      </w:r>
      <w:r>
        <w:t xml:space="preserve">betrieben werden;</w:t>
      </w:r>
    </w:p>
    <w:p>
      <w:pPr>
        <w:numPr>
          <w:ilvl w:val="0"/>
          <w:numId w:val="1035"/>
        </w:numPr>
      </w:pPr>
      <w:r>
        <w:t xml:space="preserve">Eine Ausbeutung Autonomie durch die Möglichkeit haben</w:t>
      </w:r>
      <w:r>
        <w:t xml:space="preserve"> </w:t>
      </w:r>
      <w:r>
        <w:t xml:space="preserve">einen anderen Subunternehmer aufrufen oder schnell</w:t>
      </w:r>
      <w:r>
        <w:t xml:space="preserve"> </w:t>
      </w:r>
      <w:r>
        <w:t xml:space="preserve">Arbeiten Sie eine technologische Alternative.</w:t>
      </w:r>
    </w:p>
    <w:p>
      <w:pPr>
        <w:pStyle w:val="FirstParagraph"/>
      </w:pPr>
      <w:r>
        <w:t xml:space="preserve">Zur Erinnerung sind die genannten Daten diejenigen, denen sie anvertraut sind</w:t>
      </w:r>
      <w:r>
        <w:t xml:space="preserve"> </w:t>
      </w:r>
      <w:r>
        <w:t xml:space="preserve">Anbieter des Sponsors sowie alle technischen Daten</w:t>
      </w:r>
      <w:r>
        <w:t xml:space="preserve"> </w:t>
      </w:r>
      <w:r>
        <w:t xml:space="preserve">einschließlich Informationen zu Sponsoren.</w:t>
      </w:r>
    </w:p>
    <w:p>
      <w:pPr>
        <w:pStyle w:val="BodyText"/>
      </w:pPr>
      <w:r>
        <w:t xml:space="preserve">Für die Zwecke dieses Artikels ist das Kontrollkonzept gehört</w:t>
      </w:r>
      <w:r>
        <w:t xml:space="preserve"> </w:t>
      </w:r>
      <w:r>
        <w:t xml:space="preserve">als das in II von Artikel L233-3 des Code von erwähnt</w:t>
      </w:r>
      <w:r>
        <w:t xml:space="preserve"> </w:t>
      </w:r>
      <w:r>
        <w:t xml:space="preserve">Handel.</w:t>
      </w:r>
    </w:p>
    <w:bookmarkEnd w:id="84"/>
    <w:bookmarkEnd w:id="85"/>
    <w:bookmarkStart w:id="86" w:name="unterschriften"/>
    <w:p>
      <w:pPr>
        <w:pStyle w:val="Heading1"/>
      </w:pPr>
      <w:r>
        <w:t xml:space="preserve">14. Unterschriften</w:t>
      </w:r>
    </w:p>
    <w:p>
      <w:pPr>
        <w:pStyle w:val="FirstParagraph"/>
      </w:pPr>
      <w:r>
        <w:t xml:space="preserve">Made zu  _  _  _  _ _ _  _ _  _  _ _   _ _ _  _ _ _ _ _</w:t>
      </w:r>
      <w:r>
        <w:t xml:space="preserve"> </w:t>
      </w:r>
      <w:r>
        <w:rPr>
          <w:i/>
          <w:iCs/>
        </w:rPr>
        <w:t xml:space="preserve">, die</w:t>
      </w:r>
      <w:r>
        <w:rPr>
          <w:i/>
          <w:iCs/>
        </w:rPr>
        <w:t xml:space="preserve"> </w:t>
      </w:r>
      <w:r>
        <w:rPr>
          <w:i/>
          <w:iCs/>
        </w:rPr>
        <w:t xml:space="preserve"> </w:t>
      </w:r>
      <w:r>
        <w:t xml:space="preserve"> </w:t>
      </w:r>
      <w:r>
        <w:t xml:space="preserve"> _  _  _ _ _  _ _ _ _ _ _ _     _ _ _ _ _  _ _ _   _ _ _ _</w:t>
      </w:r>
    </w:p>
    <w:p>
      <w:pPr>
        <w:pStyle w:val="BodyText"/>
      </w:pPr>
      <w:r>
        <w:t xml:space="preserve">Für den Cloud -Tempel der Dienstleister</w:t>
      </w:r>
    </w:p>
    <w:p>
      <w:pPr>
        <w:pStyle w:val="BodyText"/>
      </w:pPr>
      <w:r>
        <w:t xml:space="preserve">Für  _  _  _ _ _ _  _  _ _ _  _ _ _ _ _ _ _ _ _ _ _ _ _ _ _ _ _ _  _ _ _ _ _ _ _ _  _, der Spons</w:t>
      </w:r>
    </w:p>
    <w:bookmarkEnd w:id="8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2025-03-19T15:46:32Z</dcterms:created>
  <dcterms:modified xsi:type="dcterms:W3CDTF">2025-03-19T15:46:32Z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