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** Inhaltsverzeichnis **</w:t>
      </w:r>
    </w:p>
    <w:p>
      <w:pPr>
        <w:pStyle w:val="Compact"/>
        <w:numPr>
          <w:ilvl w:val="0"/>
          <w:numId w:val="1001"/>
        </w:numPr>
      </w:pPr>
      <w:r>
        <w:t xml:space="preserve">[1.Framework] (#x09AF6387E1D2792B8EDC09FC15ABD136A837DB5)</w:t>
      </w:r>
    </w:p>
    <w:p>
      <w:pPr>
        <w:pStyle w:val="Compact"/>
        <w:numPr>
          <w:ilvl w:val="0"/>
          <w:numId w:val="1001"/>
        </w:numPr>
      </w:pPr>
      <w:r>
        <w:t xml:space="preserve">[2.ACRONYMS] (#XC79D173393C04B42BA8CDF223CCA3C0202F4DEE)</w:t>
      </w:r>
    </w:p>
    <w:p>
      <w:pPr>
        <w:pStyle w:val="Compact"/>
        <w:numPr>
          <w:ilvl w:val="0"/>
          <w:numId w:val="1001"/>
        </w:numPr>
      </w:pPr>
      <w:r>
        <w:t xml:space="preserve">[3.Glossar] (#x0C9D1D82FDC5FCC3D01A320DDDDDD3715A6900B4)</w:t>
      </w:r>
    </w:p>
    <w:p>
      <w:pPr>
        <w:pStyle w:val="Compact"/>
        <w:numPr>
          <w:ilvl w:val="0"/>
          <w:numId w:val="1001"/>
        </w:numPr>
      </w:pPr>
      <w:r>
        <w:t xml:space="preserve">[4.Objekt der PaaS -Servicevereinbarung von</w:t>
      </w:r>
      <w:r>
        <w:t xml:space="preserve"> </w:t>
      </w:r>
      <w:r>
        <w:t xml:space="preserve">Anbieter] (#x23C3C3767539F9E69CC7CBF5AF8AA8C1B6AD7)</w:t>
      </w:r>
    </w:p>
    <w:p>
      <w:pPr>
        <w:pStyle w:val="Compact"/>
        <w:numPr>
          <w:ilvl w:val="0"/>
          <w:numId w:val="1001"/>
        </w:numPr>
      </w:pPr>
      <w:r>
        <w:t xml:space="preserve">[5.Entwicklung des Dienstvertrags</w:t>
      </w:r>
      <w:r>
        <w:t xml:space="preserve"> </w:t>
      </w:r>
      <w:r>
        <w:t xml:space="preserve">PaaS] (#xa7161677dcf9a35d02c20807040326b39d55881)</w:t>
      </w:r>
    </w:p>
    <w:p>
      <w:pPr>
        <w:pStyle w:val="Compact"/>
        <w:numPr>
          <w:ilvl w:val="0"/>
          <w:numId w:val="1001"/>
        </w:numPr>
      </w:pPr>
      <w:r>
        <w:t xml:space="preserve">[6.Audit] (#x910E2801262DE94AF71544B8FB509CC70CC79A)</w:t>
      </w:r>
    </w:p>
    <w:p>
      <w:pPr>
        <w:pStyle w:val="Compact"/>
        <w:numPr>
          <w:ilvl w:val="0"/>
          <w:numId w:val="1001"/>
        </w:numPr>
      </w:pPr>
      <w:r>
        <w:t xml:space="preserve">[7.Beschreibung des Dienstes] (#x3D12A6C93683F0122F5F9A8E21E7C12FC92490B)</w:t>
      </w:r>
    </w:p>
    <w:p>
      <w:pPr>
        <w:pStyle w:val="Compact"/>
        <w:numPr>
          <w:ilvl w:val="0"/>
          <w:numId w:val="1001"/>
        </w:numPr>
      </w:pPr>
      <w:r>
        <w:t xml:space="preserve">[8.Implementierung von</w:t>
      </w:r>
      <w:r>
        <w:t xml:space="preserve"> </w:t>
      </w:r>
      <w:r>
        <w:t xml:space="preserve">Service] (#XC98FB6DA582D483E300ADD6A80DF6E3EB76498A)</w:t>
      </w:r>
    </w:p>
    <w:p>
      <w:pPr>
        <w:pStyle w:val="Compact"/>
        <w:numPr>
          <w:ilvl w:val="0"/>
          <w:numId w:val="1001"/>
        </w:numPr>
      </w:pPr>
      <w:r>
        <w:t xml:space="preserve">[8.1.Beschreibung der Komponenten</w:t>
      </w:r>
      <w:r>
        <w:t xml:space="preserve"> </w:t>
      </w:r>
      <w:r>
        <w:t xml:space="preserve">Techniken] (#XA61C340E3FDF14082CEF411D3A913FC4BDEEB4C)</w:t>
      </w:r>
    </w:p>
    <w:p>
      <w:pPr>
        <w:pStyle w:val="Compact"/>
        <w:numPr>
          <w:ilvl w:val="0"/>
          <w:numId w:val="1001"/>
        </w:numPr>
      </w:pPr>
      <w:r>
        <w:t xml:space="preserve">[8.1.1.Redhat Service Platform</w:t>
      </w:r>
      <w:r>
        <w:t xml:space="preserve"> </w:t>
      </w:r>
      <w:r>
        <w:t xml:space="preserve">OpenShift] (#XF81D22ED0ABCA8AEB163C160107FA228901D82C)</w:t>
      </w:r>
    </w:p>
    <w:p>
      <w:pPr>
        <w:pStyle w:val="Compact"/>
        <w:numPr>
          <w:ilvl w:val="0"/>
          <w:numId w:val="1001"/>
        </w:numPr>
      </w:pPr>
      <w:r>
        <w:t xml:space="preserve">[8.1.2.Plattformpiloten -Software -Infrastruktur</w:t>
      </w:r>
      <w:r>
        <w:t xml:space="preserve"> </w:t>
      </w:r>
      <w:r>
        <w:t xml:space="preserve">Redhat OpenShift] (#xf11c2e6a431ae11852Fe3129245b4d0fd0747b)</w:t>
      </w:r>
    </w:p>
    <w:p>
      <w:pPr>
        <w:pStyle w:val="Compact"/>
        <w:numPr>
          <w:ilvl w:val="0"/>
          <w:numId w:val="1001"/>
        </w:numPr>
      </w:pPr>
      <w:r>
        <w:t xml:space="preserve">[8.1.3.Sicherungsinfrastruktur</w:t>
      </w:r>
      <w:r>
        <w:t xml:space="preserve"> </w:t>
      </w:r>
      <w:r>
        <w:t xml:space="preserve">Zugeordnet] (#x77B1112FA2C2A53EB0CF09B416962164B77B437)</w:t>
      </w:r>
    </w:p>
    <w:p>
      <w:pPr>
        <w:pStyle w:val="Compact"/>
        <w:numPr>
          <w:ilvl w:val="0"/>
          <w:numId w:val="1001"/>
        </w:numPr>
      </w:pPr>
      <w:r>
        <w:t xml:space="preserve">[8.1.4.Implementierung von Aktivität oder Aktivität oder</w:t>
      </w:r>
      <w:r>
        <w:t xml:space="preserve"> </w:t>
      </w:r>
      <w:r>
        <w:t xml:space="preserve">Kontinuität der Aktivität] (#xae1394210f1c9bee4293A93160D2D1CC70EBDD)</w:t>
      </w:r>
    </w:p>
    <w:p>
      <w:pPr>
        <w:pStyle w:val="Compact"/>
        <w:numPr>
          <w:ilvl w:val="0"/>
          <w:numId w:val="1001"/>
        </w:numPr>
      </w:pPr>
      <w:r>
        <w:t xml:space="preserve">[9.Verpflichtungen und Ebenen von</w:t>
      </w:r>
      <w:r>
        <w:t xml:space="preserve"> </w:t>
      </w:r>
      <w:r>
        <w:t xml:space="preserve">Dienstleistungen] (#xad2b4ae071a52a99b502c4e84cbba3f15ac78f8)</w:t>
      </w:r>
    </w:p>
    <w:p>
      <w:pPr>
        <w:pStyle w:val="Compact"/>
        <w:numPr>
          <w:ilvl w:val="0"/>
          <w:numId w:val="1001"/>
        </w:numPr>
      </w:pPr>
      <w:r>
        <w:t xml:space="preserve">[9.1.Redhat Plattform Verfügbarkeitsverpflichtungen</w:t>
      </w:r>
      <w:r>
        <w:t xml:space="preserve"> </w:t>
      </w:r>
      <w:r>
        <w:t xml:space="preserve">OpenShift] (#x273341276DF81E9F6FA2000AC84216560E59FA)</w:t>
      </w:r>
    </w:p>
    <w:p>
      <w:pPr>
        <w:pStyle w:val="Compact"/>
        <w:numPr>
          <w:ilvl w:val="0"/>
          <w:numId w:val="1001"/>
        </w:numPr>
      </w:pPr>
      <w:r>
        <w:t xml:space="preserve">[10.Gemeinsames Verantwortungsmodell</w:t>
      </w:r>
      <w:r>
        <w:t xml:space="preserve"> </w:t>
      </w:r>
      <w:r>
        <w:t xml:space="preserve">Anwendbar] (#xa90d4e180ca2ae1d92e4e4cf00f20ACA5061EAC)</w:t>
      </w:r>
    </w:p>
    <w:p>
      <w:pPr>
        <w:pStyle w:val="Compact"/>
        <w:numPr>
          <w:ilvl w:val="0"/>
          <w:numId w:val="1001"/>
        </w:numPr>
      </w:pPr>
      <w:r>
        <w:t xml:space="preserve">[10.1.Verantwortung und Verpflichtungen von</w:t>
      </w:r>
      <w:r>
        <w:t xml:space="preserve"> </w:t>
      </w:r>
      <w:r>
        <w:t xml:space="preserve">Anbieter] (#xe5cf73850ea2189ab60f41560bf52e97d3019f9)</w:t>
      </w:r>
    </w:p>
    <w:p>
      <w:pPr>
        <w:pStyle w:val="Compact"/>
        <w:numPr>
          <w:ilvl w:val="0"/>
          <w:numId w:val="1001"/>
        </w:numPr>
      </w:pPr>
      <w:r>
        <w:t xml:space="preserve">[10.2.Verantwortungsbeschränkung für</w:t>
      </w:r>
      <w:r>
        <w:t xml:space="preserve"> </w:t>
      </w:r>
      <w:r>
        <w:t xml:space="preserve">Anbieter] (#x8856C8F606130116944398B244484722823C023C)</w:t>
      </w:r>
    </w:p>
    <w:p>
      <w:pPr>
        <w:pStyle w:val="Compact"/>
        <w:numPr>
          <w:ilvl w:val="0"/>
          <w:numId w:val="1001"/>
        </w:numPr>
      </w:pPr>
      <w:r>
        <w:t xml:space="preserve">[10.3.Einschränkung</w:t>
      </w:r>
      <w:r>
        <w:t xml:space="preserve"> </w:t>
      </w:r>
      <w:r>
        <w:t xml:space="preserve">Access] (#x902763258F1242326933CE46892D3F549E73E30)</w:t>
      </w:r>
    </w:p>
    <w:p>
      <w:pPr>
        <w:pStyle w:val="Compact"/>
        <w:numPr>
          <w:ilvl w:val="0"/>
          <w:numId w:val="1001"/>
        </w:numPr>
      </w:pPr>
      <w:r>
        <w:t xml:space="preserve">[11.Datenlöschung am Ende von</w:t>
      </w:r>
      <w:r>
        <w:t xml:space="preserve"> </w:t>
      </w:r>
      <w:r>
        <w:t xml:space="preserve">Vertrag] (#xbe642A80027CE4AD8888C932E98B8661C2A0D3A6)</w:t>
      </w:r>
    </w:p>
    <w:p>
      <w:pPr>
        <w:pStyle w:val="Compact"/>
        <w:numPr>
          <w:ilvl w:val="0"/>
          <w:numId w:val="1001"/>
        </w:numPr>
      </w:pPr>
      <w:r>
        <w:t xml:space="preserve">[12.Anwendbares Gesetz] (#XA219184D62EB90DFEEC612801FD05C5D816C331)</w:t>
      </w:r>
    </w:p>
    <w:bookmarkStart w:id="20" w:name="framework"/>
    <w:p>
      <w:pPr>
        <w:pStyle w:val="Heading2"/>
      </w:pPr>
      <w:r>
        <w:t xml:space="preserve">1. Framework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Referenz ct.am.jur.anx.paas 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Datum 21. Januar 2025</w:t>
            </w:r>
          </w:p>
        </w:tc>
      </w:tr>
    </w:tbl>
    <w:bookmarkEnd w:id="20"/>
    <w:bookmarkStart w:id="21" w:name="akronyme"/>
    <w:p>
      <w:pPr>
        <w:pStyle w:val="Heading2"/>
      </w:pPr>
      <w:r>
        <w:t xml:space="preserve">2. Akronyme</w:t>
      </w:r>
    </w:p>
    <w:tbl>
      <w:tblPr>
        <w:tblStyle w:val="Table"/>
        <w:tblW w:type="pct" w:w="4444"/>
        <w:tblLayout w:type="fixed"/>
        <w:tblLook w:firstRow="1" w:lastRow="0" w:firstColumn="0" w:lastColumn="0" w:noHBand="0" w:noVBand="0" w:val="0020"/>
      </w:tblPr>
      <w:tblGrid>
        <w:gridCol w:w="70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Akronym Beschreibung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 Change Advisory Board - Beratungsausschuss für Änderungen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CMDB -Konfigurationsverwaltungsdatenbank - Verwaltungsdatenbank</w:t>
            </w:r>
            <w:r>
              <w:t xml:space="preserve"> </w:t>
            </w:r>
            <w:r>
              <w:t xml:space="preserve">Konfigurationen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Copil -Lenkungsausschuss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CoStrat Strategic Committee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 -Datenbank (Datenbank)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DRP Disaster Recovery Plan (Aktivitätswiederherstellungsplan)</w:t>
            </w:r>
            <w:r>
              <w:t xml:space="preserve"> </w:t>
            </w:r>
            <w:r>
              <w:t xml:space="preserve">GTI Garantie de Temps d’Intervention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GTR Garantie de Temps de Résolution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GTE Garantie de Temps d’Escalade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HYPERVISEUR Système d'exploitation permettant l'execution de VM sur une</w:t>
            </w:r>
            <w:r>
              <w:t xml:space="preserve"> </w:t>
            </w:r>
            <w:r>
              <w:t xml:space="preserve">lame de calcul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ITIL Information Technology Infrastructure Library - Bonnes pratiques</w:t>
            </w:r>
            <w:r>
              <w:t xml:space="preserve"> </w:t>
            </w:r>
            <w:r>
              <w:t xml:space="preserve">pour la gestion des systèmes d'information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IAAS Infrastructure as a 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MCO Maintien en condition opérationnelle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MOA -Projektmanagement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MOE -Projektmanagement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Betriebssystembetriebssystem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PAQ -Qualitätsversicherungsplan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PaaS -Plattform als 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SDM Deliver Manager 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RFC -Anfrage zur Änderung - Änderungsanforderung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DSGVO allgemeine Datenschutz (persönliche) Datenvorschriften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RPO -Wiederherstellungsobjektivpunkt - Frische von wiederhergestellten Daten in</w:t>
            </w:r>
            <w:r>
              <w:t xml:space="preserve"> </w:t>
            </w:r>
            <w:r>
              <w:t xml:space="preserve">Katastrophenfall</w:t>
            </w:r>
            <w:r>
              <w:t xml:space="preserve"> </w:t>
            </w:r>
            <w:r>
              <w:t xml:space="preserve">RTO -Erholungszeitziel - Frist für die Wiedereinsetzung des Dienstes</w:t>
            </w:r>
            <w:r>
              <w:t xml:space="preserve"> </w:t>
            </w:r>
            <w:r>
              <w:t xml:space="preserve">Katastrophenfall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SLA Service Level -Vereinbarung - Service Level -Vereinbarung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UO -Arbeitseinheit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VABF -Validierung der Eignung für ordnungsgemäße Funktionen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VAB -Validierung der Eignung für eine gute Ausbeutlichkeit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VM Virtual Machine (virtuelle Maschine)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VSR -Validierung des regulären 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SNC Secnumcloud</w:t>
            </w:r>
          </w:p>
        </w:tc>
      </w:tr>
    </w:tbl>
    <w:bookmarkEnd w:id="21"/>
    <w:bookmarkStart w:id="22" w:name="glossar"/>
    <w:p>
      <w:pPr>
        <w:pStyle w:val="Heading2"/>
      </w:pPr>
      <w:r>
        <w:t xml:space="preserve">3. Glossar</w:t>
      </w:r>
    </w:p>
    <w:p>
      <w:pPr>
        <w:pStyle w:val="FirstParagraph"/>
      </w:pPr>
      <w:r>
        <w:t xml:space="preserve">Die folgenden Ausdrücke, die in diesem Dokument verwendet werden</w:t>
      </w:r>
      <w:r>
        <w:t xml:space="preserve"> </w:t>
      </w:r>
      <w:r>
        <w:t xml:space="preserve">in Übereinstimmung mit den ihnen zugewiesenen Definitionen interpretiert</w:t>
      </w:r>
      <w:r>
        <w:t xml:space="preserve"> </w:t>
      </w:r>
      <w:r>
        <w:t xml:space="preserve">unten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Ausdrucksdefinition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“Sicherer Tempel " bezeichnet den IaaS -qualifizierten Secnumcloud -Service, der von vorgeschlagen wurde von</w:t>
            </w:r>
            <w:r>
              <w:t xml:space="preserve"> </w:t>
            </w:r>
            <w:r>
              <w:t xml:space="preserve">Wolkentempel, wie im Zertifikat definiert</w:t>
            </w:r>
            <w:r>
              <w:t xml:space="preserve"> </w:t>
            </w:r>
            <w:r>
              <w:t xml:space="preserve">erhältlich auf der ANSSI -Website und im Anhang zur Verfügung gestellt zu</w:t>
            </w:r>
            <w:r>
              <w:t xml:space="preserve"> </w:t>
            </w:r>
            <w:r>
              <w:t xml:space="preserve">Diese Servicevereinbarung.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A  “Region " im Kontext von Cloud Computing designiert</w:t>
            </w:r>
            <w:r>
              <w:t xml:space="preserve"> </w:t>
            </w:r>
            <w:r>
              <w:t xml:space="preserve">ein geografisch abgrenzter Satz von Zonen von</w:t>
            </w:r>
            <w:r>
              <w:t xml:space="preserve"> </w:t>
            </w:r>
            <w:r>
              <w:t xml:space="preserve">Cloud -Verfügbarkeit, Bereitstellung von Netzwerkdiensten,</w:t>
            </w:r>
            <w:r>
              <w:t xml:space="preserve"> </w:t>
            </w:r>
            <w:r>
              <w:t xml:space="preserve">Berechnung und Speicherung zur Optimierung der Latenz,</w:t>
            </w:r>
            <w:r>
              <w:t xml:space="preserve"> </w:t>
            </w:r>
            <w:r>
              <w:t xml:space="preserve">Lokale Leistung und regulatorische Einhaltung.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Zone einen bestimmten Abschnitt und isoliert aus der Infrastruktur von</w:t>
            </w:r>
            <w:r>
              <w:t xml:space="preserve"> </w:t>
            </w:r>
            <w:r>
              <w:t xml:space="preserve">Verfügbarkeit (AZ) (Verfügbarkeit Cloud Computing, die eine hohe Verfügbarkeit gewährleistet</w:t>
            </w:r>
            <w:r>
              <w:t xml:space="preserve"> </w:t>
            </w:r>
            <w:r>
              <w:t xml:space="preserve">Zone) und die Widerstandsfähigkeit von Diensten durch Verbreitung</w:t>
            </w:r>
            <w:r>
              <w:t xml:space="preserve"> </w:t>
            </w:r>
            <w:r>
              <w:t xml:space="preserve">Geografische Ressourcen.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Eine isolierte Instanz halten, die einem Benutzer oder einer Gruppe reserviert ist</w:t>
            </w:r>
            <w:r>
              <w:t xml:space="preserve"> </w:t>
            </w:r>
            <w:r>
              <w:t xml:space="preserve">Benutzer, die eine gemeinsame Infrastruktur teilen, alles</w:t>
            </w:r>
            <w:r>
              <w:t xml:space="preserve"> </w:t>
            </w:r>
            <w:r>
              <w:t xml:space="preserve">en maintenant l'indépendance et la sécurité des données et</w:t>
            </w:r>
            <w:r>
              <w:t xml:space="preserve"> </w:t>
            </w:r>
            <w:r>
              <w:t xml:space="preserve">des applications.</w:t>
            </w:r>
          </w:p>
        </w:tc>
      </w:tr>
    </w:tbl>
    <w:p/>
    <w:tbl>
      <w:tblPr>
        <w:tblStyle w:val="Table"/>
        <w:tblW w:type="pct" w:w="4868"/>
        <w:tblLayout w:type="fixed"/>
        <w:tblLook w:firstRow="1" w:lastRow="0" w:firstColumn="0" w:lastColumn="0" w:noHBand="0" w:noVBand="0" w:val="0020"/>
      </w:tblPr>
      <w:tblGrid>
        <w:gridCol w:w="1667"/>
        <w:gridCol w:w="604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Expression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Définition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 "incident" désigne tout événement imprévu qui</w:t>
            </w:r>
            <w:r>
              <w:t xml:space="preserve"> </w:t>
            </w:r>
            <w:r>
              <w:t xml:space="preserve">perturbe le fonctionnement normal d'un système ou</w:t>
            </w:r>
            <w:r>
              <w:t xml:space="preserve"> </w:t>
            </w:r>
            <w:r>
              <w:t xml:space="preserve">compromet la sécurité des données.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Problème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 "problème" est une cause fondamentale d'un ou</w:t>
            </w:r>
            <w:r>
              <w:t xml:space="preserve"> </w:t>
            </w:r>
            <w:r>
              <w:t xml:space="preserve">plusieurs incidents, identifiée ou suspectée, nécessitant</w:t>
            </w:r>
            <w:r>
              <w:t xml:space="preserve"> </w:t>
            </w:r>
            <w:r>
              <w:t xml:space="preserve">une analyse et une résolution pour prévenir sa récurrence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 "changement" désigne tout ajout, une modification ou</w:t>
            </w:r>
            <w:r>
              <w:t xml:space="preserve"> </w:t>
            </w:r>
            <w:r>
              <w:t xml:space="preserve">suppression impactant le Service, ayant été autorisé,</w:t>
            </w:r>
            <w:r>
              <w:t xml:space="preserve"> </w:t>
            </w:r>
            <w:r>
              <w:t xml:space="preserve">planifié ou pris en charge.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Changement</w:t>
            </w:r>
            <w:r>
              <w:t xml:space="preserve"> </w:t>
            </w:r>
            <w:r>
              <w:t xml:space="preserve">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 "changement standard" est un changement faisant</w:t>
            </w:r>
            <w:r>
              <w:t xml:space="preserve"> </w:t>
            </w:r>
            <w:r>
              <w:t xml:space="preserve">l’objet d’une procédure, dont les modalités de mise en</w:t>
            </w:r>
            <w:r>
              <w:t xml:space="preserve"> </w:t>
            </w:r>
            <w:r>
              <w:t xml:space="preserve">production et les impacts (y compris financiers) sont</w:t>
            </w:r>
            <w:r>
              <w:t xml:space="preserve"> </w:t>
            </w:r>
            <w:r>
              <w:t xml:space="preserve">connus et acceptés à l’avance par les Parties. Il est</w:t>
            </w:r>
            <w:r>
              <w:t xml:space="preserve"> </w:t>
            </w:r>
            <w:r>
              <w:t xml:space="preserve">alors intégré au catalogue des changements standards, et</w:t>
            </w:r>
            <w:r>
              <w:t xml:space="preserve"> </w:t>
            </w:r>
            <w:r>
              <w:t xml:space="preserve">peut selon les cas avoir une GTI et une GTR.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tionen der Verwi</w:t>
            </w:r>
            <w:r>
              <w:t xml:space="preserve"> </w:t>
            </w:r>
            <w:r>
              <w:t xml:space="preserve">oduktion, wenn e</w:t>
            </w:r>
            <w:r>
              <w:t xml:space="preserve"> </w:t>
            </w:r>
            <w:r>
              <w:t xml:space="preserve">r das Änderungsm</w:t>
            </w:r>
            <w:r>
              <w:t xml:space="preserve"> </w:t>
            </w:r>
            <w:r>
              <w:t xml:space="preserve">alisierung/Konkr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rklichung von Veränderungen</w:t>
            </w:r>
            <w:r>
              <w:t xml:space="preserve"> </w:t>
            </w:r>
            <w:r>
              <w:t xml:space="preserve">s genehmigt wird (die Veränderung, im Sinne von Itil,</w:t>
            </w:r>
            <w:r>
              <w:t xml:space="preserve"> </w:t>
            </w:r>
            <w:r>
              <w:t xml:space="preserve">anagement und nicht das Veränderungsmanagement und nicht das seines</w:t>
            </w:r>
            <w:r>
              <w:t xml:space="preserve"> </w:t>
            </w:r>
            <w:r>
              <w:t xml:space="preserve">etisierung).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frage nach einer</w:t>
            </w:r>
            <w:r>
              <w:t xml:space="preserve"> </w:t>
            </w:r>
            <w:r>
              <w:t xml:space="preserve">enstrealisierung</w:t>
            </w:r>
            <w:r>
              <w:t xml:space="preserve"> </w:t>
            </w:r>
            <w:r>
              <w:t xml:space="preserve">erativ, Kosten u</w:t>
            </w:r>
            <w:r>
              <w:t xml:space="preserve"> </w:t>
            </w:r>
            <w:r>
              <w:t xml:space="preserve">Voraus akzeptie</w:t>
            </w:r>
            <w:r>
              <w:t xml:space="preserve"> </w:t>
            </w:r>
            <w:r>
              <w:t xml:space="preserve">ezifische Rückke</w:t>
            </w:r>
            <w:r>
              <w:t xml:space="preserve"> </w:t>
            </w:r>
            <w:r>
              <w:t xml:space="preserve">rbehaltlich eine</w:t>
            </w:r>
            <w:r>
              <w:t xml:space="preserve"> </w:t>
            </w:r>
            <w:r>
              <w:t xml:space="preserve">e Vertragsgebühr</w:t>
            </w:r>
            <w:r>
              <w:t xml:space="preserve"> </w:t>
            </w:r>
            <w:r>
              <w:t xml:space="preserve">beitszeit und 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Entwicklungsanfrage unterliegt einem Verfahren, von dem</w:t>
            </w:r>
            <w:r>
              <w:t xml:space="preserve"> </w:t>
            </w:r>
            <w:r>
              <w:t xml:space="preserve">: i) ändert den CMDB nicht, ii) den Modus</w:t>
            </w:r>
            <w:r>
              <w:t xml:space="preserve"> </w:t>
            </w:r>
            <w:r>
              <w:t xml:space="preserve">nd Risiken sind bekannt und</w:t>
            </w:r>
            <w:r>
              <w:t xml:space="preserve"> </w:t>
            </w:r>
            <w:r>
              <w:t xml:space="preserve">rt und nicht verlangen</w:t>
            </w:r>
            <w:r>
              <w:t xml:space="preserve"> </w:t>
            </w:r>
            <w:r>
              <w:t xml:space="preserve">hr iii) Die Erkenntnis ist</w:t>
            </w:r>
            <w:r>
              <w:t xml:space="preserve"> </w:t>
            </w:r>
            <w:r>
              <w:t xml:space="preserve">r Service -Level -Vereinbarung und enthalten in</w:t>
            </w:r>
            <w:r>
              <w:t xml:space="preserve"> </w:t>
            </w:r>
            <w:r>
              <w:t xml:space="preserve">bei der Ausführung in</w:t>
            </w:r>
            <w:r>
              <w:t xml:space="preserve"> </w:t>
            </w:r>
            <w:r>
              <w:t xml:space="preserve">beitstage.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ement eines  “K</w:t>
            </w:r>
            <w:r>
              <w:t xml:space="preserve"> </w:t>
            </w:r>
            <w:r>
              <w:t xml:space="preserve">entifizierbare K</w:t>
            </w:r>
            <w:r>
              <w:t xml:space="preserve"> </w:t>
            </w:r>
            <w:r>
              <w:t xml:space="preserve">ftware, Hardware</w:t>
            </w:r>
            <w:r>
              <w:t xml:space="preserve"> </w:t>
            </w:r>
            <w:r>
              <w:t xml:space="preserve">s Teil des IT 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onfigurationselements” ist eine Komponente</w:t>
            </w:r>
            <w:r>
              <w:t xml:space="preserve"> </w:t>
            </w:r>
            <w:r>
              <w:t xml:space="preserve">onfiguration des Informationssystems, wie z. B. a</w:t>
            </w:r>
            <w:r>
              <w:t xml:space="preserve"> </w:t>
            </w:r>
            <w:r>
              <w:t xml:space="preserve">oder Dokument, vorbehaltlich der Verwaltung</w:t>
            </w:r>
            <w:r>
              <w:t xml:space="preserve"> </w:t>
            </w:r>
            <w:r>
              <w:t xml:space="preserve">ervices Managements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rvice A  “Servi</w:t>
            </w:r>
            <w:r>
              <w:t xml:space="preserve"> </w:t>
            </w:r>
            <w:r>
              <w:t xml:space="preserve">m Dienstanbieter</w:t>
            </w:r>
            <w:r>
              <w:t xml:space="preserve"> </w:t>
            </w:r>
            <w:r>
              <w:t xml:space="preserve">schrieben im Abs</w:t>
            </w:r>
            <w:r>
              <w:t xml:space="preserve"> </w:t>
            </w:r>
            <w:r>
              <w:t xml:space="preserve">ese Serviceverei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 " bezeichnet den qualifizierten Secnumcloud -Service,</w:t>
            </w:r>
            <w:r>
              <w:t xml:space="preserve"> </w:t>
            </w:r>
            <w:r>
              <w:t xml:space="preserve">an den Sponsor ausgestellt, z.</w:t>
            </w:r>
            <w:r>
              <w:t xml:space="preserve"> </w:t>
            </w:r>
            <w:r>
              <w:t xml:space="preserve">chnitt</w:t>
            </w:r>
            <w:r>
              <w:t xml:space="preserve"> </w:t>
            </w:r>
            <w:r>
              <w:t xml:space="preserve">“Beschreibung des Dienstes”</w:t>
            </w:r>
            <w:r>
              <w:t xml:space="preserve"> </w:t>
            </w:r>
            <w:r>
              <w:t xml:space="preserve">des</w:t>
            </w:r>
            <w:r>
              <w:t xml:space="preserve"> </w:t>
            </w:r>
            <w:r>
              <w:t xml:space="preserve">nbarung.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 ist ein  “E</w:t>
            </w:r>
            <w:r>
              <w:t xml:space="preserve"> </w:t>
            </w:r>
            <w:r>
              <w:t xml:space="preserve">entifizierbar, d</w:t>
            </w:r>
            <w:r>
              <w:t xml:space="preserve"> </w:t>
            </w:r>
            <w:r>
              <w:t xml:space="preserve">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reignis " ein nachweisbares Ereignis oder</w:t>
            </w:r>
            <w:r>
              <w:t xml:space="preserve"> </w:t>
            </w:r>
            <w:r>
              <w:t xml:space="preserve">ie möglicherweise ein wichtiges Management haben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nister eine “Kat</w:t>
            </w:r>
            <w:r>
              <w:t xml:space="preserve"> </w:t>
            </w:r>
            <w:r>
              <w:t xml:space="preserve">türlich oder men</w:t>
            </w:r>
            <w:r>
              <w:t xml:space="preserve"> </w:t>
            </w:r>
            <w:r>
              <w:t xml:space="preserve">hebliche Verlust</w:t>
            </w:r>
            <w:r>
              <w:t xml:space="preserve"> </w:t>
            </w:r>
            <w:r>
              <w:t xml:space="preserve">tastrophe.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astrophe” bezeichnet ein ernstes Herkunftsereignis</w:t>
            </w:r>
            <w:r>
              <w:t xml:space="preserve"> </w:t>
            </w:r>
            <w:r>
              <w:t xml:space="preserve">schlich, zufällig oder beabsichtigt,</w:t>
            </w:r>
            <w:r>
              <w:t xml:space="preserve"> </w:t>
            </w:r>
            <w:r>
              <w:t xml:space="preserve">e und Schäden an 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reinbarung diese</w:t>
            </w:r>
            <w:r>
              <w:t xml:space="preserve"> </w:t>
            </w:r>
            <w:r>
              <w:t xml:space="preserve">ezifische Servic</w:t>
            </w:r>
            <w:r>
              <w:t xml:space="preserve"> </w:t>
            </w:r>
            <w:r>
              <w:t xml:space="preserve">n Nutzung (CGVU)</w:t>
            </w:r>
            <w:r>
              <w:t xml:space="preserve"> </w:t>
            </w:r>
            <w:r>
              <w:t xml:space="preserve">forderungen 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 Dokuments, das im Rahmen eines Vertrags festgelegt wurde</w:t>
            </w:r>
            <w:r>
              <w:t xml:space="preserve"> </w:t>
            </w:r>
            <w:r>
              <w:t xml:space="preserve">e oder allgemeine Verkaufsbedingungen und</w:t>
            </w:r>
            <w:r>
              <w:t xml:space="preserve"> </w:t>
            </w:r>
            <w:r>
              <w:t xml:space="preserve">gemäß nach</w:t>
            </w:r>
            <w:r>
              <w:t xml:space="preserve"> </w:t>
            </w:r>
            <w:r>
              <w:t xml:space="preserve">Secnumcloud Sep.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rfügbarkeitskapa</w:t>
            </w:r>
            <w:r>
              <w:t xml:space="preserve"> </w:t>
            </w:r>
            <w:r>
              <w:t xml:space="preserve">timale Leistung</w:t>
            </w:r>
            <w:r>
              <w:t xml:space="preserve"> </w:t>
            </w:r>
            <w:r>
              <w:t xml:space="preserve">iterien und Verp</w:t>
            </w:r>
            <w:r>
              <w:t xml:space="preserve"> </w:t>
            </w:r>
            <w:r>
              <w:t xml:space="preserve">rvice Level (SLA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zität, um die Verfügbarkeit und Wartung von zu gewährleisten</w:t>
            </w:r>
            <w:r>
              <w:t xml:space="preserve"> </w:t>
            </w:r>
            <w:r>
              <w:t xml:space="preserve">eines Dienstes in Übereinstimmung mit</w:t>
            </w:r>
            <w:r>
              <w:t xml:space="preserve"> </w:t>
            </w:r>
            <w:r>
              <w:t xml:space="preserve">flichtungen, die in der definiert sind</w:t>
            </w:r>
            <w:r>
              <w:t xml:space="preserve"> 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erwachungsüberwa</w:t>
            </w:r>
            <w:r>
              <w:t xml:space="preserve"> </w:t>
            </w:r>
            <w:r>
              <w:t xml:space="preserve">rvice, der die E</w:t>
            </w:r>
            <w:r>
              <w:t xml:space="preserve"> </w:t>
            </w:r>
            <w:r>
              <w:t xml:space="preserve">e Maßnahmen und</w:t>
            </w:r>
            <w:r>
              <w:t xml:space="preserve"> </w:t>
            </w:r>
            <w:r>
              <w:t xml:space="preserve">obachtung und Fo</w:t>
            </w:r>
            <w:r>
              <w:t xml:space="preserve"> </w:t>
            </w:r>
            <w:r>
              <w:t xml:space="preserve">f den überwachte</w:t>
            </w:r>
            <w:r>
              <w:t xml:space="preserve"> </w:t>
            </w:r>
            <w:r>
              <w:t xml:space="preserve">hört zu Verwaltu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chung eines Informationssystems oder a</w:t>
            </w:r>
            <w:r>
              <w:t xml:space="preserve"> </w:t>
            </w:r>
            <w:r>
              <w:t xml:space="preserve">rfassung verschiedener Daten umfasst</w:t>
            </w:r>
            <w:r>
              <w:t xml:space="preserve"> </w:t>
            </w:r>
            <w:r>
              <w:t xml:space="preserve">Alarme.Diese Aktivität ist beschränkt auf</w:t>
            </w:r>
            <w:r>
              <w:t xml:space="preserve"> </w:t>
            </w:r>
            <w:r>
              <w:t xml:space="preserve">llow -up, ohne direkt einzugreifen</w:t>
            </w:r>
            <w:r>
              <w:t xml:space="preserve"> </w:t>
            </w:r>
            <w:r>
              <w:t xml:space="preserve">n Elementen ein Vorrecht, das</w:t>
            </w:r>
            <w:r>
              <w:t xml:space="preserve"> </w:t>
            </w:r>
            <w:r>
              <w:t xml:space="preserve">ngsoperationen.</w:t>
            </w:r>
          </w:p>
        </w:tc>
      </w:tr>
    </w:tbl>
    <w:bookmarkEnd w:id="22"/>
    <w:bookmarkStart w:id="23" w:name="X84d7151fde36a223283a0aace22f067036c12b4"/>
    <w:p>
      <w:pPr>
        <w:pStyle w:val="Heading2"/>
      </w:pPr>
      <w:r>
        <w:t xml:space="preserve">4. Gegenstand des PaaS -Servicevertrags des Anbieters</w:t>
      </w:r>
    </w:p>
    <w:p>
      <w:pPr>
        <w:pStyle w:val="FirstParagraph"/>
      </w:pPr>
      <w:r>
        <w:t xml:space="preserve">Diese Servicevereinbarung legt die Bedingungen fest</w:t>
      </w:r>
      <w:r>
        <w:t xml:space="preserve"> </w:t>
      </w:r>
      <w:r>
        <w:t xml:space="preserve">nach dem der Dienstleister verpflichtet, dem Sponsor a</w:t>
      </w:r>
      <w:r>
        <w:t xml:space="preserve"> </w:t>
      </w:r>
      <w:r>
        <w:t xml:space="preserve">Infrastruktur gemäß den Spezifikationen des Angebots “Plattform als a</w:t>
      </w:r>
      <w:r>
        <w:t xml:space="preserve"> </w:t>
      </w:r>
      <w:r>
        <w:t xml:space="preserve">Service - PaaS “, ordnungsgemäß qualifiziert Secnumcloud.</w:t>
      </w:r>
    </w:p>
    <w:p>
      <w:pPr>
        <w:pStyle w:val="BodyText"/>
      </w:pPr>
      <w:r>
        <w:t xml:space="preserve">Zweck der Servicevereinbarung:</w:t>
      </w:r>
    </w:p>
    <w:p>
      <w:pPr>
        <w:pStyle w:val="Compact"/>
        <w:numPr>
          <w:ilvl w:val="0"/>
          <w:numId w:val="1002"/>
        </w:numPr>
      </w:pPr>
      <w:r>
        <w:t xml:space="preserve">Geben Sie die vom Sponsor erwarteten Leistungsanforderungen an</w:t>
      </w:r>
      <w:r>
        <w:t xml:space="preserve"> </w:t>
      </w:r>
      <w:r>
        <w:t xml:space="preserve">In Bezug auf die Funktionalität und Zuverlässigkeit der Infrastruktur.</w:t>
      </w:r>
    </w:p>
    <w:p>
      <w:pPr>
        <w:pStyle w:val="Compact"/>
        <w:numPr>
          <w:ilvl w:val="0"/>
          <w:numId w:val="1002"/>
        </w:numPr>
      </w:pPr>
      <w:r>
        <w:t xml:space="preserve">Geben Sie die Verpflichtungen des Anbieters an, um die zu erfüllen</w:t>
      </w:r>
      <w:r>
        <w:t xml:space="preserve"> </w:t>
      </w:r>
      <w:r>
        <w:t xml:space="preserve">vereinbarte Servicestufen.</w:t>
      </w:r>
      <w:r>
        <w:t xml:space="preserve"> </w:t>
      </w:r>
      <w:r>
        <w:t xml:space="preserve">3.. Identifizieren Sie die regulatorischen Standards speziell auf</w:t>
      </w:r>
      <w:r>
        <w:t xml:space="preserve"> </w:t>
      </w:r>
      <w:r>
        <w:t xml:space="preserve">die vorgeschlagene Infrastruktur.</w:t>
      </w:r>
    </w:p>
    <w:p>
      <w:pPr>
        <w:pStyle w:val="Compact"/>
        <w:numPr>
          <w:ilvl w:val="0"/>
          <w:numId w:val="1003"/>
        </w:numPr>
      </w:pPr>
      <w:r>
        <w:t xml:space="preserve">Qualität der erbrachten Dienstleistungen.</w:t>
      </w:r>
    </w:p>
    <w:p>
      <w:pPr>
        <w:pStyle w:val="Compact"/>
        <w:numPr>
          <w:ilvl w:val="0"/>
          <w:numId w:val="1004"/>
        </w:numPr>
      </w:pPr>
      <w:r>
        <w:t xml:space="preserve">garantieren Sie die Exzellenz der erbrachten Dienstleistungen, die mit den Mitteln bewertet werden</w:t>
      </w:r>
      <w:r>
        <w:t xml:space="preserve"> </w:t>
      </w:r>
      <w:r>
        <w:t xml:space="preserve">Quantitative Leistungsindikatoren.</w:t>
      </w:r>
    </w:p>
    <w:p>
      <w:pPr>
        <w:pStyle w:val="FirstParagraph"/>
      </w:pPr>
      <w:r>
        <w:t xml:space="preserve">Es wird festgelegt, dass in der Hypothese, in der der Anbieter zu sehen ist</w:t>
      </w:r>
      <w:r>
        <w:t xml:space="preserve"> </w:t>
      </w:r>
      <w:r>
        <w:t xml:space="preserve">Ziehen Sie seine Qualifikation für Secnumcloud ab, dieser Vertrag kann sein</w:t>
      </w:r>
      <w:r>
        <w:t xml:space="preserve"> </w:t>
      </w:r>
      <w:r>
        <w:t xml:space="preserve">automatisch gekündigt, ohne Strafen durch die</w:t>
      </w:r>
      <w:r>
        <w:t xml:space="preserve"> </w:t>
      </w:r>
      <w:r>
        <w:t xml:space="preserve">Sponsor.In einer solchen Möglichkeit engagiert sich der Dienstleister</w:t>
      </w:r>
      <w:r>
        <w:t xml:space="preserve"> </w:t>
      </w:r>
      <w:r>
        <w:t xml:space="preserve">Informieren Sie den Sponsor über diese Dequalifikation, indem Sie a senden</w:t>
      </w:r>
      <w:r>
        <w:t xml:space="preserve"> </w:t>
      </w:r>
      <w:r>
        <w:t xml:space="preserve">offizielle Benachrichtigung durch einen eingetragenen Brief mit Anfrage</w:t>
      </w:r>
      <w:r>
        <w:t xml:space="preserve"> </w:t>
      </w:r>
      <w:r>
        <w:t xml:space="preserve">von Erhalt.</w:t>
      </w:r>
    </w:p>
    <w:p>
      <w:pPr>
        <w:pStyle w:val="BodyText"/>
      </w:pPr>
      <w:r>
        <w:t xml:space="preserve">Es ist zu beachten, dass eine Änderung oder Anpassung der</w:t>
      </w:r>
      <w:r>
        <w:t xml:space="preserve"> </w:t>
      </w:r>
      <w:r>
        <w:t xml:space="preserve">Qualifikation Secnumcloud wird nicht als Widerruf von interpretiert</w:t>
      </w:r>
      <w:r>
        <w:t xml:space="preserve"> </w:t>
      </w:r>
      <w:r>
        <w:t xml:space="preserve">Erste Qualifikation.</w:t>
      </w:r>
    </w:p>
    <w:bookmarkEnd w:id="23"/>
    <w:bookmarkStart w:id="24" w:name="entwicklung-des-paas--servicevertrags"/>
    <w:p>
      <w:pPr>
        <w:pStyle w:val="Heading2"/>
      </w:pPr>
      <w:r>
        <w:t xml:space="preserve">5. Entwicklung des PAAS -Servicevertrags</w:t>
      </w:r>
    </w:p>
    <w:p>
      <w:pPr>
        <w:pStyle w:val="FirstParagraph"/>
      </w:pPr>
      <w:r>
        <w:t xml:space="preserve">Änderungen oder Ergänzungen dieser Servicevereinbarung</w:t>
      </w:r>
      <w:r>
        <w:t xml:space="preserve"> </w:t>
      </w:r>
      <w:r>
        <w:t xml:space="preserve">Ergebnis ausschließlich aus Anfragen, die von den Organen von formuliert wurden</w:t>
      </w:r>
      <w:r>
        <w:t xml:space="preserve"> </w:t>
      </w:r>
      <w:r>
        <w:t xml:space="preserve">Governance für diesen Zweck benannt.Diese Änderungsvorschläge werden sein</w:t>
      </w:r>
      <w:r>
        <w:t xml:space="preserve"> </w:t>
      </w:r>
      <w:r>
        <w:t xml:space="preserve">untersucht im strategischen Komitee die einzige Körperschaft, die befähigt war</w:t>
      </w:r>
      <w:r>
        <w:t xml:space="preserve"> </w:t>
      </w:r>
      <w:r>
        <w:t xml:space="preserve">Bestimmen Sie die Aspekte, die eine schriftliche Formalisierung erfordern.</w:t>
      </w:r>
    </w:p>
    <w:p>
      <w:pPr>
        <w:pStyle w:val="BodyText"/>
      </w:pPr>
      <w:r>
        <w:t xml:space="preserve">Es ist vereinbart, dass jede Entwicklung der Vereinbarung nach der Validierung,</w:t>
      </w:r>
      <w:r>
        <w:t xml:space="preserve"> </w:t>
      </w:r>
      <w:r>
        <w:t xml:space="preserve">Dies erfordert die anfänglich festgelegten finanziellen Bedingungen</w:t>
      </w:r>
      <w:r>
        <w:t xml:space="preserve"> </w:t>
      </w:r>
      <w:r>
        <w:t xml:space="preserve">Die Einrichtung und die Unterschrift einer Änderung des aktuellen Vertrags.</w:t>
      </w:r>
    </w:p>
    <w:p>
      <w:pPr>
        <w:pStyle w:val="BodyText"/>
      </w:pPr>
      <w:r>
        <w:t xml:space="preserve">Die Faktoren, die eine Überarbeitung dieser Vereinbarung hervorrufen können, umfassen,</w:t>
      </w:r>
      <w:r>
        <w:t xml:space="preserve"> </w:t>
      </w:r>
      <w:r>
        <w:t xml:space="preserve">ohne einschränken:</w:t>
      </w:r>
    </w:p>
    <w:p>
      <w:pPr>
        <w:pStyle w:val="Compact"/>
        <w:numPr>
          <w:ilvl w:val="0"/>
          <w:numId w:val="1005"/>
        </w:numPr>
      </w:pPr>
      <w:r>
        <w:t xml:space="preserve">Anpassung der vom Anbieter orchestrierten PaaS -Plattform.</w:t>
      </w:r>
    </w:p>
    <w:p>
      <w:pPr>
        <w:pStyle w:val="Compact"/>
        <w:numPr>
          <w:ilvl w:val="0"/>
          <w:numId w:val="1005"/>
        </w:numPr>
      </w:pPr>
      <w:r>
        <w:t xml:space="preserve">Die Anpassungen an die vom Dienstanbieter bereitgestellten Dienste.</w:t>
      </w:r>
    </w:p>
    <w:p>
      <w:pPr>
        <w:pStyle w:val="Compact"/>
        <w:numPr>
          <w:ilvl w:val="0"/>
          <w:numId w:val="1005"/>
        </w:numPr>
      </w:pPr>
      <w:r>
        <w:t xml:space="preserve">Variationen der verpflichteten Verpflichtungen und anwendbaren Sanktionen.</w:t>
      </w:r>
    </w:p>
    <w:p>
      <w:pPr>
        <w:pStyle w:val="Compact"/>
        <w:numPr>
          <w:ilvl w:val="0"/>
          <w:numId w:val="1005"/>
        </w:numPr>
      </w:pPr>
      <w:r>
        <w:t xml:space="preserve">Organisatorische Neukonfigurationen innerhalb des Sponsors oder</w:t>
      </w:r>
      <w:r>
        <w:t xml:space="preserve"> </w:t>
      </w:r>
      <w:r>
        <w:t xml:space="preserve">Anbieter.</w:t>
      </w:r>
    </w:p>
    <w:p>
      <w:pPr>
        <w:pStyle w:val="Compact"/>
        <w:numPr>
          <w:ilvl w:val="0"/>
          <w:numId w:val="1005"/>
        </w:numPr>
      </w:pPr>
      <w:r>
        <w:t xml:space="preserve">Expansion oder Reduzierung im Bereich der Anwendung von Diensten</w:t>
      </w:r>
      <w:r>
        <w:t xml:space="preserve"> </w:t>
      </w:r>
      <w:r>
        <w:t xml:space="preserve">von wem der Sponsor abonniert hat.</w:t>
      </w:r>
    </w:p>
    <w:p>
      <w:pPr>
        <w:pStyle w:val="FirstParagraph"/>
      </w:pPr>
      <w:r>
        <w:t xml:space="preserve">Das Management von Versionen und Überarbeitungen der Vereinbarung wird erfasst</w:t>
      </w:r>
      <w:r>
        <w:t xml:space="preserve"> </w:t>
      </w:r>
      <w:r>
        <w:t xml:space="preserve">In der Präambel zum Dokument, um die Überwachung zu erleichtern.</w:t>
      </w:r>
    </w:p>
    <w:bookmarkEnd w:id="24"/>
    <w:bookmarkStart w:id="25" w:name="audit"/>
    <w:p>
      <w:pPr>
        <w:pStyle w:val="Heading2"/>
      </w:pPr>
      <w:r>
        <w:t xml:space="preserve">6. Audit</w:t>
      </w:r>
    </w:p>
    <w:p>
      <w:pPr>
        <w:pStyle w:val="FirstParagraph"/>
      </w:pPr>
      <w:r>
        <w:t xml:space="preserve">Der Dienstleister verpflichtet sich, dem Sponsor oder zu allem zuzulassen</w:t>
      </w:r>
      <w:r>
        <w:t xml:space="preserve"> </w:t>
      </w:r>
      <w:r>
        <w:t xml:space="preserve">Dritter -Party -Zuhörer, den letztere ernannt hätte, um das Ensemble zu konsultieren</w:t>
      </w:r>
      <w:r>
        <w:t xml:space="preserve"> </w:t>
      </w:r>
      <w:r>
        <w:t xml:space="preserve">des documents nécessaires à l'attestation du respect intégral des</w:t>
      </w:r>
      <w:r>
        <w:t xml:space="preserve"> </w:t>
      </w:r>
      <w:r>
        <w:t xml:space="preserve">obligations liées à la conformité avec les dispositions de l'article 28</w:t>
      </w:r>
      <w:r>
        <w:t xml:space="preserve"> </w:t>
      </w:r>
      <w:r>
        <w:t xml:space="preserve">du Règlement Général sur la Protection des Données (RGPD), facilitant</w:t>
      </w:r>
      <w:r>
        <w:t xml:space="preserve"> </w:t>
      </w:r>
      <w:r>
        <w:t xml:space="preserve">ainsi la réalisation d'audits.</w:t>
      </w:r>
    </w:p>
    <w:p>
      <w:pPr>
        <w:pStyle w:val="BodyText"/>
      </w:pPr>
      <w:r>
        <w:rPr>
          <w:b/>
          <w:bCs/>
        </w:rPr>
        <w:t xml:space="preserve">Le Prestataire s'engage notamment à tenir à disposition du</w:t>
      </w:r>
      <w:r>
        <w:rPr>
          <w:b/>
          <w:bCs/>
        </w:rPr>
        <w:t xml:space="preserve"> </w:t>
      </w:r>
      <w:r>
        <w:rPr>
          <w:b/>
          <w:bCs/>
        </w:rPr>
        <w:t xml:space="preserve">COMMANDITAIRE la liste de l’ensemble des tiers qui peuvent accéder aux</w:t>
      </w:r>
      <w:r>
        <w:rPr>
          <w:b/>
          <w:bCs/>
        </w:rPr>
        <w:t xml:space="preserve"> </w:t>
      </w:r>
      <w:r>
        <w:rPr>
          <w:b/>
          <w:bCs/>
        </w:rPr>
        <w:t xml:space="preserve">données et l’informer de tout changement de sous-traitants.</w:t>
      </w:r>
    </w:p>
    <w:p>
      <w:pPr>
        <w:pStyle w:val="BodyText"/>
      </w:pPr>
      <w:r>
        <w:t xml:space="preserve">Par l'acceptation de la présente convention de service, le</w:t>
      </w:r>
      <w:r>
        <w:t xml:space="preserve"> </w:t>
      </w:r>
      <w:r>
        <w:t xml:space="preserve">COMMANDITAIRE confère son autorisation explicite à 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L'Agence Nationale de la Sécurité des Systèmes d'Information</w:t>
      </w:r>
      <w:r>
        <w:rPr>
          <w:b/>
          <w:bCs/>
        </w:rPr>
        <w:t xml:space="preserve"> </w:t>
      </w:r>
      <w:r>
        <w:rPr>
          <w:b/>
          <w:bCs/>
        </w:rPr>
        <w:t xml:space="preserve">(ANSSI)</w:t>
      </w:r>
      <w:r>
        <w:t xml:space="preserve"> </w:t>
      </w:r>
      <w:r>
        <w:t xml:space="preserve">ainsi qu'à l'entité de qualification compétente pour</w:t>
      </w:r>
      <w:r>
        <w:t xml:space="preserve"> </w:t>
      </w:r>
      <w:r>
        <w:t xml:space="preserve">entreprendre la vérification de la conformité du Service et de son</w:t>
      </w:r>
      <w:r>
        <w:t xml:space="preserve"> </w:t>
      </w:r>
      <w:r>
        <w:t xml:space="preserve">Système d'Information aux standards définis par le Référentiel</w:t>
      </w:r>
      <w:r>
        <w:t xml:space="preserve"> </w:t>
      </w:r>
      <w:r>
        <w:t xml:space="preserve">SecNumCloud.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Un prestataire d'audit en sécurité des systèmes d'information</w:t>
      </w:r>
      <w:r>
        <w:t xml:space="preserve">,</w:t>
      </w:r>
      <w:r>
        <w:t xml:space="preserve"> </w:t>
      </w:r>
      <w:r>
        <w:t xml:space="preserve">dûment qualifié et expressément désigné par le Prestataire, pour</w:t>
      </w:r>
      <w:r>
        <w:t xml:space="preserve"> </w:t>
      </w:r>
      <w:r>
        <w:t xml:space="preserve">Führen Sie Sicherheitsaudits in Bezug auf den ausgegebenen Dienst durch</w:t>
      </w:r>
      <w:r>
        <w:t xml:space="preserve"> </w:t>
      </w:r>
      <w:r>
        <w:t xml:space="preserve">vom Anbieter.</w:t>
      </w:r>
    </w:p>
    <w:bookmarkEnd w:id="25"/>
    <w:bookmarkStart w:id="26" w:name="service-beschreibung"/>
    <w:p>
      <w:pPr>
        <w:pStyle w:val="Heading2"/>
      </w:pPr>
      <w:r>
        <w:t xml:space="preserve">7. Service Beschreibung</w:t>
      </w:r>
    </w:p>
    <w:p>
      <w:pPr>
        <w:pStyle w:val="FirstParagraph"/>
      </w:pPr>
      <w:r>
        <w:t xml:space="preserve">Das vom Dienstanbieter angebotene Serviceangebot ist durch das gekennzeichnet</w:t>
      </w:r>
      <w:r>
        <w:t xml:space="preserve"> </w:t>
      </w:r>
      <w:r>
        <w:t xml:space="preserve">Erbringung der folgenden Dienstleistungen, die auf die Ausrichtung stehen</w:t>
      </w:r>
      <w:r>
        <w:t xml:space="preserve"> </w:t>
      </w:r>
      <w:r>
        <w:t xml:space="preserve">Das Prinzip der detaillierten gemeinsamen Verantwortung in festgelegten Standards</w:t>
      </w:r>
      <w:r>
        <w:t xml:space="preserve"> </w:t>
      </w:r>
      <w:r>
        <w:t xml:space="preserve">durch das Secnumcloud -Repository:</w:t>
      </w:r>
    </w:p>
    <w:p>
      <w:pPr>
        <w:pStyle w:val="Compact"/>
        <w:numPr>
          <w:ilvl w:val="0"/>
          <w:numId w:val="1007"/>
        </w:numPr>
      </w:pPr>
      <w:r>
        <w:t xml:space="preserve">Die Bereitstellung einer Redhat -Container -Management -Plattform</w:t>
      </w:r>
      <w:r>
        <w:t xml:space="preserve"> </w:t>
      </w:r>
      <w:r>
        <w:t xml:space="preserve">OpenShift vom Dienstleister pilotiert.</w:t>
      </w:r>
      <w:r>
        <w:t xml:space="preserve"> </w:t>
      </w:r>
      <w:r>
        <w:t xml:space="preserve">Es wird davon ausgegangen, dass der Dienstleister sein Fachwissen mobilisiert, um sie zu erreichen</w:t>
      </w:r>
      <w:r>
        <w:t xml:space="preserve"> </w:t>
      </w:r>
      <w:r>
        <w:t xml:space="preserve">Vorteile nach besten professionellen Praktiken,</w:t>
      </w:r>
      <w:r>
        <w:t xml:space="preserve"> </w:t>
      </w:r>
      <w:r>
        <w:t xml:space="preserve">gemäß ihren Spezifikationen und der Beachtung der Standards seiner</w:t>
      </w:r>
      <w:r>
        <w:t xml:space="preserve"> </w:t>
      </w:r>
      <w:r>
        <w:t xml:space="preserve">ISO/IEC 27001 -Zertifizierung sowie Standard -Richtlinien</w:t>
      </w:r>
      <w:r>
        <w:t xml:space="preserve"> </w:t>
      </w:r>
      <w:r>
        <w:t xml:space="preserve">Secnumcloud.</w:t>
      </w:r>
    </w:p>
    <w:bookmarkEnd w:id="26"/>
    <w:bookmarkStart w:id="32" w:name="implementierung-des-dienstes"/>
    <w:p>
      <w:pPr>
        <w:pStyle w:val="Heading2"/>
      </w:pPr>
      <w:r>
        <w:t xml:space="preserve">8. Implementierung des Dienstes</w:t>
      </w:r>
    </w:p>
    <w:p>
      <w:pPr>
        <w:pStyle w:val="FirstParagraph"/>
      </w:pPr>
      <w:r>
        <w:t xml:space="preserve">Es wird angegeben, dass alle Vorgänge und Komponenten</w:t>
      </w:r>
      <w:r>
        <w:t xml:space="preserve"> </w:t>
      </w:r>
      <w:r>
        <w:t xml:space="preserve">physische Beteiligung an der Bereitstellung eines qualifizierten Dienstes, einschließlich</w:t>
      </w:r>
      <w:r>
        <w:t xml:space="preserve"> </w:t>
      </w:r>
      <w:r>
        <w:t xml:space="preserve">Diese Vereinbarung ist Gegenstand von, befindet sich in der Europäischen Union.</w:t>
      </w:r>
      <w:r>
        <w:t xml:space="preserve"> </w:t>
      </w:r>
      <w:r>
        <w:t xml:space="preserve">Dies beinhaltet Unterstützung, operative Überwachung und</w:t>
      </w:r>
      <w:r>
        <w:t xml:space="preserve"> </w:t>
      </w:r>
      <w:r>
        <w:t xml:space="preserve">Sicherheitsaufsicht (SOC).</w:t>
      </w:r>
    </w:p>
    <w:bookmarkStart w:id="27" w:name="beschreibung-der-technischen-komponenten"/>
    <w:p>
      <w:pPr>
        <w:pStyle w:val="Heading3"/>
      </w:pPr>
      <w:r>
        <w:t xml:space="preserve">8.1.Beschreibung der technischen Komponenten</w:t>
      </w:r>
    </w:p>
    <w:p>
      <w:pPr>
        <w:pStyle w:val="FirstParagraph"/>
      </w:pPr>
      <w:r>
        <w:t xml:space="preserve">PaaS (Plattform as a Service) -Dienst umfasst die gesamte Gesamtheit von</w:t>
      </w:r>
      <w:r>
        <w:t xml:space="preserve"> </w:t>
      </w:r>
      <w:r>
        <w:t xml:space="preserve">Komponenten und Dienste, die für einen optimalen Betrieb in der erforderlich sind</w:t>
      </w:r>
      <w:r>
        <w:t xml:space="preserve"> </w:t>
      </w:r>
      <w:r>
        <w:t xml:space="preserve">Respekt vor der Qualifikation für Secnumcloud.</w:t>
      </w:r>
    </w:p>
    <w:p>
      <w:pPr>
        <w:pStyle w:val="BodyText"/>
      </w:pPr>
      <w:r>
        <w:t xml:space="preserve">In dieser Hinsicht sind ihre Leistung und Zuverlässigkeit an uns verbunden</w:t>
      </w:r>
      <w:r>
        <w:t xml:space="preserve"> </w:t>
      </w:r>
      <w:r>
        <w:t xml:space="preserve">Technische Komponenten und Dienste von ** IaaS ** Infrastruktur</w:t>
      </w:r>
      <w:r>
        <w:t xml:space="preserve"> </w:t>
      </w:r>
      <w:r>
        <w:t xml:space="preserve">des Dienstleisters, wie im Dokument [Servicevereinbarung angegeben</w:t>
      </w:r>
      <w:r>
        <w:t xml:space="preserve"> </w:t>
      </w:r>
      <w:r>
        <w:t xml:space="preserve">IaaS] (../%%20in%20Progress%20-%20not%20use/IaaS/Sla_iaas.md)</w:t>
      </w:r>
      <w:r>
        <w:t xml:space="preserve"> </w:t>
      </w:r>
      <w:r>
        <w:t xml:space="preserve">Anbieter.</w:t>
      </w:r>
    </w:p>
    <w:bookmarkEnd w:id="27"/>
    <w:bookmarkStart w:id="28" w:name="redhat-openshift-redhat-service-platform"/>
    <w:p>
      <w:pPr>
        <w:pStyle w:val="Heading3"/>
      </w:pPr>
      <w:r>
        <w:t xml:space="preserve">8.1.1.Redhat OpenShift Redhat Service Platform</w:t>
      </w:r>
    </w:p>
    <w:p>
      <w:pPr>
        <w:pStyle w:val="FirstParagraph"/>
      </w:pPr>
      <w:r>
        <w:t xml:space="preserve">Der Service beinhaltet die Bestimmung innerhalb einer Region von 3</w:t>
      </w:r>
      <w:r>
        <w:t xml:space="preserve"> </w:t>
      </w:r>
      <w:r>
        <w:t xml:space="preserve">Verfügbarkeitszonen,</w:t>
      </w:r>
    </w:p>
    <w:bookmarkEnd w:id="28"/>
    <w:bookmarkStart w:id="29" w:name="Xe39d5925aa1134cc6649a367e9b5de16a5c6fe7"/>
    <w:p>
      <w:pPr>
        <w:pStyle w:val="Heading3"/>
      </w:pPr>
      <w:r>
        <w:t xml:space="preserve">8.1.2.Redtenshift Redhat Plattforminfrastruktur</w:t>
      </w:r>
    </w:p>
    <w:p>
      <w:pPr>
        <w:pStyle w:val="FirstParagraph"/>
      </w:pPr>
      <w:r>
        <w:t xml:space="preserve">Der Dienstleister stellt dem Sponsor die Verwaltungskonsole und zur Verfügung</w:t>
      </w:r>
      <w:r>
        <w:t xml:space="preserve"> </w:t>
      </w:r>
      <w:r>
        <w:t xml:space="preserve">Die API, die für die Ausbeutung ihrer PaaS -Redhat -Umgebungen erforderlich ist</w:t>
      </w:r>
      <w:r>
        <w:t xml:space="preserve"> </w:t>
      </w:r>
      <w:r>
        <w:t xml:space="preserve">OpenShift.Er verpflichtet sich auch, sie in einem Zustand zu halten</w:t>
      </w:r>
      <w:r>
        <w:t xml:space="preserve"> </w:t>
      </w:r>
      <w:r>
        <w:t xml:space="preserve">optimaler Betrieb und um ihre Sicherheit kontinuierlich zu gewährleisten.</w:t>
      </w:r>
    </w:p>
    <w:p>
      <w:pPr>
        <w:pStyle w:val="BodyText"/>
      </w:pPr>
      <w:r>
        <w:t xml:space="preserve">Im spezifischen Rahmen des bereitgestellten Dienstes stellt der Dienstleister ein</w:t>
      </w:r>
      <w:r>
        <w:t xml:space="preserve"> </w:t>
      </w:r>
      <w:r>
        <w:t xml:space="preserve">Bereitstellung des Anbieters alle Schnittstellen und APIs der</w:t>
      </w:r>
      <w:r>
        <w:t xml:space="preserve"> </w:t>
      </w:r>
      <w:r>
        <w:t xml:space="preserve">Redhat OpenShift -Plattform innerhalb des ausgewählten Eigentümers.Er kehrt zu</w:t>
      </w:r>
      <w:r>
        <w:t xml:space="preserve"> </w:t>
      </w:r>
      <w:r>
        <w:t xml:space="preserve">Sponsor, um geeignete Sicherheitsvorrichtungen einzurichten, wie z.</w:t>
      </w:r>
      <w:r>
        <w:t xml:space="preserve"> </w:t>
      </w:r>
      <w:r>
        <w:t xml:space="preserve">Diese Firewalls (Firewall), Webanwendungsfeuerwalls (WAF) und</w:t>
      </w:r>
      <w:r>
        <w:t xml:space="preserve"> </w:t>
      </w:r>
      <w:r>
        <w:t xml:space="preserve">Andere Schutzmaßnahmen und definieren die Regeln von</w:t>
      </w:r>
      <w:r>
        <w:t xml:space="preserve"> </w:t>
      </w:r>
      <w:r>
        <w:t xml:space="preserve">das damit verbundene Filterung, um den Zugriff auf seine Plattform gemäß den Ergänzung zu erhalten</w:t>
      </w:r>
      <w:r>
        <w:t xml:space="preserve"> </w:t>
      </w:r>
      <w:r>
        <w:t xml:space="preserve">zu seiner Sicherheitsrichtlinie.</w:t>
      </w:r>
    </w:p>
    <w:p>
      <w:pPr>
        <w:pStyle w:val="BodyText"/>
      </w:pPr>
      <w:r>
        <w:t xml:space="preserve">Der Dienstanbieter benachrichtigt den Sponsor darauf, dass</w:t>
      </w:r>
      <w:r>
        <w:t xml:space="preserve"> </w:t>
      </w:r>
      <w:r>
        <w:t xml:space="preserve">Abnormal über die Verwaltungskonsole, insbesondere im Falle einer Überlastung</w:t>
      </w:r>
      <w:r>
        <w:t xml:space="preserve"> </w:t>
      </w:r>
      <w:r>
        <w:t xml:space="preserve">seiner Kommando -APIs (Hämmern) können Maßnahmen aus auslösen</w:t>
      </w:r>
      <w:r>
        <w:t xml:space="preserve"> </w:t>
      </w:r>
      <w:r>
        <w:t xml:space="preserve">Automatische Sicherheit, die zum Blockieren des Zugangs auf die APIs von führt</w:t>
      </w:r>
      <w:r>
        <w:t xml:space="preserve"> </w:t>
      </w:r>
      <w:r>
        <w:t xml:space="preserve">Bestellung oder bestimmte Dienste des Dienstleisters.Es ist ratsam zu unterstreichen</w:t>
      </w:r>
      <w:r>
        <w:t xml:space="preserve"> </w:t>
      </w:r>
      <w:r>
        <w:t xml:space="preserve">dass diese Situation jedoch nicht die Unvereinbarkeit des Dienstes darstellt, aber nicht</w:t>
      </w:r>
      <w:r>
        <w:t xml:space="preserve"> </w:t>
      </w:r>
      <w:r>
        <w:t xml:space="preserve">eine Schutzmaßnahme für die Infrastruktur des Anbieters;von</w:t>
      </w:r>
      <w:r>
        <w:t xml:space="preserve"> </w:t>
      </w:r>
      <w:r>
        <w:t xml:space="preserve">Folglich kann der Sponsor es nicht als als betrachten</w:t>
      </w:r>
      <w:r>
        <w:t xml:space="preserve"> </w:t>
      </w:r>
      <w:r>
        <w:t xml:space="preserve">Nichtverfügbarkeit in seinen Berechnungen.</w:t>
      </w:r>
      <w:r>
        <w:t xml:space="preserve"> </w:t>
      </w:r>
      <w:r>
        <w:t xml:space="preserve">Darüber hinaus gibt der Dienstanbieter dem Antrag auf den Sponsor an</w:t>
      </w:r>
      <w:r>
        <w:t xml:space="preserve"> </w:t>
      </w:r>
      <w:r>
        <w:t xml:space="preserve">Die an seine APIs gesendeten vollkommen identischen (Duplikate) sind beschränkt auf</w:t>
      </w:r>
      <w:r>
        <w:t xml:space="preserve"> </w:t>
      </w:r>
      <w:r>
        <w:t xml:space="preserve">Eine pro Sekunde (Drosselung).Wenn der Sponsor Anfragen vorlegt</w:t>
      </w:r>
      <w:r>
        <w:t xml:space="preserve"> </w:t>
      </w:r>
      <w:r>
        <w:t xml:space="preserve">identisch mit einer höheren Frequenz, ihre Ablehnung sollte nicht sein</w:t>
      </w:r>
      <w:r>
        <w:t xml:space="preserve"> </w:t>
      </w:r>
      <w:r>
        <w:t xml:space="preserve">als Nichtverfügbarkeit des Dienstes interpretiert.</w:t>
      </w:r>
    </w:p>
    <w:bookmarkEnd w:id="29"/>
    <w:bookmarkStart w:id="30" w:name="assoziierte-sicherungsinfrastruktur"/>
    <w:p>
      <w:pPr>
        <w:pStyle w:val="Heading3"/>
      </w:pPr>
      <w:r>
        <w:t xml:space="preserve">8.1.3.Assoziierte Sicherungsinfrastruktur</w:t>
      </w:r>
    </w:p>
    <w:p>
      <w:pPr>
        <w:pStyle w:val="FirstParagraph"/>
      </w:pPr>
      <w:r>
        <w:t xml:space="preserve">Der Dienstanbieter stellt dem Sponsor a zur Verfügung</w:t>
      </w:r>
      <w:r>
        <w:t xml:space="preserve"> </w:t>
      </w:r>
      <w:r>
        <w:t xml:space="preserve">integrierte, engagierte und verwaltete Sicherung, die zum Schutz von vorgesehen ist</w:t>
      </w:r>
      <w:r>
        <w:t xml:space="preserve"> </w:t>
      </w:r>
      <w:r>
        <w:t xml:space="preserve">Daten aus den Redhat OpenShift -Umgebungen.Der Dienstleister bietet</w:t>
      </w:r>
      <w:r>
        <w:t xml:space="preserve"> </w:t>
      </w:r>
      <w:r>
        <w:t xml:space="preserve">Wartung in Betriebszustand und Sicherheitszustand von</w:t>
      </w:r>
      <w:r>
        <w:t xml:space="preserve"> </w:t>
      </w:r>
      <w:r>
        <w:t xml:space="preserve">Diese integrierte Backup -Plattform.Unabhängig von der Anzahl der</w:t>
      </w:r>
      <w:r>
        <w:t xml:space="preserve"> </w:t>
      </w:r>
      <w:r>
        <w:t xml:space="preserve">Verfügbarkeitszonen, die der Sponsor, den Dienstleister, abonniert haben</w:t>
      </w:r>
      <w:r>
        <w:t xml:space="preserve"> </w:t>
      </w:r>
      <w:r>
        <w:t xml:space="preserve">stellt sicher, dass sich die Backup -Plattform des Sponsors befinden wird</w:t>
      </w:r>
      <w:r>
        <w:t xml:space="preserve"> </w:t>
      </w:r>
      <w:r>
        <w:t xml:space="preserve">Außerhalb des Verfügbarkeitsbereichs der gesicherten Arbeitsbelastung.</w:t>
      </w:r>
      <w:r>
        <w:t xml:space="preserve"> </w:t>
      </w:r>
      <w:r>
        <w:t xml:space="preserve">La prestation de sauvegarde se limite à la sauvegarde des machines</w:t>
      </w:r>
      <w:r>
        <w:t xml:space="preserve"> </w:t>
      </w:r>
      <w:r>
        <w:t xml:space="preserve">virtuelles et des configurations de topologie de l'environnement IaaS</w:t>
      </w:r>
      <w:r>
        <w:t xml:space="preserve"> </w:t>
      </w:r>
      <w:r>
        <w:t xml:space="preserve">des tenants SecNumCloud du COMMANDITAIRE. L'élaboration et</w:t>
      </w:r>
      <w:r>
        <w:t xml:space="preserve"> </w:t>
      </w:r>
      <w:r>
        <w:t xml:space="preserve">l'application d'une politique de sauvegarde adéquate par le</w:t>
      </w:r>
      <w:r>
        <w:t xml:space="preserve"> </w:t>
      </w:r>
      <w:r>
        <w:t xml:space="preserve">COMMANDITAIRE dépendent de la souscription à des unités d'œuvre</w:t>
      </w:r>
      <w:r>
        <w:t xml:space="preserve"> </w:t>
      </w:r>
      <w:r>
        <w:t xml:space="preserve">spécifiques. Il incombe donc au COMMANDITAIRE de s'assurer de la</w:t>
      </w:r>
      <w:r>
        <w:t xml:space="preserve"> </w:t>
      </w:r>
      <w:r>
        <w:t xml:space="preserve">disponibilité des ressources techniques nécessaires auprès du</w:t>
      </w:r>
      <w:r>
        <w:t xml:space="preserve"> </w:t>
      </w:r>
      <w:r>
        <w:t xml:space="preserve">Prestataire pour mettre en œuvre sa politique de sauvegarde ou</w:t>
      </w:r>
      <w:r>
        <w:t xml:space="preserve"> </w:t>
      </w:r>
      <w:r>
        <w:t xml:space="preserve">d'ajuster cette dernière en fonction des moyens disponibles.</w:t>
      </w:r>
    </w:p>
    <w:p>
      <w:pPr>
        <w:pStyle w:val="BodyText"/>
      </w:pPr>
      <w:r>
        <w:t xml:space="preserve">Le Prestataire s'engage à notifier le COMMANDITAIRE en cas de</w:t>
      </w:r>
      <w:r>
        <w:t xml:space="preserve"> </w:t>
      </w:r>
      <w:r>
        <w:t xml:space="preserve">contraintes de capacité et à fournir une assistance conseil pour</w:t>
      </w:r>
      <w:r>
        <w:t xml:space="preserve"> </w:t>
      </w:r>
      <w:r>
        <w:t xml:space="preserve">l'optimisation des ressources. Les obligations du Prestataire se</w:t>
      </w:r>
      <w:r>
        <w:t xml:space="preserve"> </w:t>
      </w:r>
      <w:r>
        <w:t xml:space="preserve">limiteront à la mise en œuvre des besoins exprimés par le COMMANDITAIRE</w:t>
      </w:r>
      <w:r>
        <w:t xml:space="preserve"> </w:t>
      </w:r>
      <w:r>
        <w:t xml:space="preserve">en matière de politique de sauvegarde, dans le cadre des ressources</w:t>
      </w:r>
      <w:r>
        <w:t xml:space="preserve"> </w:t>
      </w:r>
      <w:r>
        <w:t xml:space="preserve">souscrites.</w:t>
      </w:r>
    </w:p>
    <w:bookmarkEnd w:id="30"/>
    <w:bookmarkStart w:id="31" w:name="X3c51a24d7796e28e0aff77d1a57e53d700a1d2b"/>
    <w:p>
      <w:pPr>
        <w:pStyle w:val="Heading3"/>
      </w:pPr>
      <w:r>
        <w:t xml:space="preserve">8.1.4.Implementierung der Wiederaufnahme der Aktivität oder der Aktivitätskontinuität</w:t>
      </w:r>
    </w:p>
    <w:p>
      <w:pPr>
        <w:pStyle w:val="FirstParagraph"/>
      </w:pPr>
      <w:r>
        <w:t xml:space="preserve">Der Dienstleister stellt dem Sponsor die Lösungen zur Verfügung</w:t>
      </w:r>
      <w:r>
        <w:t xml:space="preserve"> </w:t>
      </w:r>
      <w:r>
        <w:t xml:space="preserve">Techniken, die notwendig sind, um eine optimale Verteilung seiner zu gewährleisten</w:t>
      </w:r>
      <w:r>
        <w:t xml:space="preserve"> </w:t>
      </w:r>
      <w:r>
        <w:t xml:space="preserve">Ressourcen durch verschiedene Verfügbarkeitsbereiche.Es liegt in der Verantwortung von</w:t>
      </w:r>
      <w:r>
        <w:t xml:space="preserve"> </w:t>
      </w:r>
      <w:r>
        <w:t xml:space="preserve">Sponsern Sie die Verantwortung, diese Verteilung effektiv zu verwalten</w:t>
      </w:r>
      <w:r>
        <w:t xml:space="preserve"> </w:t>
      </w:r>
      <w:r>
        <w:t xml:space="preserve">von Ressourcen, für die er die Möglichkeit hat, die Tools auszunutzen</w:t>
      </w:r>
      <w:r>
        <w:t xml:space="preserve"> </w:t>
      </w:r>
      <w:r>
        <w:t xml:space="preserve">des für diese Verwendung verfügbaren Anbieter.</w:t>
      </w:r>
      <w:r>
        <w:t xml:space="preserve"> </w:t>
      </w:r>
      <w:r>
        <w:t xml:space="preserve">Insbesondere Anwendungen, die auf der Redhat -Plattform bereitgestellt werden</w:t>
      </w:r>
      <w:r>
        <w:t xml:space="preserve"> </w:t>
      </w:r>
      <w:r>
        <w:t xml:space="preserve">OpenShift muss sich um die Redundanzmechanismen kümmern</w:t>
      </w:r>
      <w:r>
        <w:t xml:space="preserve"> </w:t>
      </w:r>
      <w:r>
        <w:t xml:space="preserve">vom Dienstleister vorgeschlagen, um von den Lösungen von profitieren zu können</w:t>
      </w:r>
      <w:r>
        <w:t xml:space="preserve"> </w:t>
      </w:r>
      <w:r>
        <w:t xml:space="preserve">Wiederaufnahme der Aktivität oder der damit verbundenen Aktivitätskontinuität.</w:t>
      </w:r>
    </w:p>
    <w:bookmarkEnd w:id="31"/>
    <w:bookmarkEnd w:id="32"/>
    <w:bookmarkStart w:id="34" w:name="verpflichtungen-und-serviceebenen"/>
    <w:p>
      <w:pPr>
        <w:pStyle w:val="Heading2"/>
      </w:pPr>
      <w:r>
        <w:t xml:space="preserve">9. Verpflichtungen und Serviceebenen</w:t>
      </w:r>
    </w:p>
    <w:p>
      <w:pPr>
        <w:pStyle w:val="FirstParagraph"/>
      </w:pPr>
      <w:r>
        <w:t xml:space="preserve">Der Dienstleister verpflichtet sich, die kontinuierliche Überwachung der zu gewährleisten</w:t>
      </w:r>
      <w:r>
        <w:t xml:space="preserve"> </w:t>
      </w:r>
      <w:r>
        <w:t xml:space="preserve">Leistung und Sicherheitsintegrität seiner Plattformen und</w:t>
      </w:r>
      <w:r>
        <w:t xml:space="preserve"> </w:t>
      </w:r>
      <w:r>
        <w:t xml:space="preserve">Dienstleistungen, um ihren optimalen Betrieb zu gewährleisten.</w:t>
      </w:r>
      <w:r>
        <w:t xml:space="preserve"> </w:t>
      </w:r>
      <w:r>
        <w:t xml:space="preserve">Die Nichtverfügbarkeit eines Dienstes, der einem Indikator für unterliegt</w:t>
      </w:r>
      <w:r>
        <w:t xml:space="preserve"> </w:t>
      </w:r>
      <w:r>
        <w:t xml:space="preserve">Leistung, wird erkannt, sobald sie vom System von identifiziert werden</w:t>
      </w:r>
      <w:r>
        <w:t xml:space="preserve"> </w:t>
      </w:r>
      <w:r>
        <w:t xml:space="preserve">Überwachung des Dienstleisters oder nach einer Benachrichtigung durch a</w:t>
      </w:r>
      <w:r>
        <w:t xml:space="preserve"> </w:t>
      </w:r>
      <w:r>
        <w:t xml:space="preserve">Sponsorbenutzer.Der Beginn der Nichtverfügbarkeit ist auf festgelegt</w:t>
      </w:r>
      <w:r>
        <w:t xml:space="preserve"> </w:t>
      </w:r>
      <w:r>
        <w:t xml:space="preserve">Der früheste Moment zwischen diesen beiden Ereignissen, um a zu garantieren</w:t>
      </w:r>
      <w:r>
        <w:t xml:space="preserve"> </w:t>
      </w:r>
      <w:r>
        <w:t xml:space="preserve">präzise Zählung und nur nicht verfügbare Zeit.</w:t>
      </w:r>
    </w:p>
    <w:p>
      <w:pPr>
        <w:pStyle w:val="BodyText"/>
      </w:pPr>
      <w:r>
        <w:t xml:space="preserve">Das Ende der Nichtverfügbarkeit ist offiziell durch die gekennzeichnet</w:t>
      </w:r>
      <w:r>
        <w:t xml:space="preserve"> </w:t>
      </w:r>
      <w:r>
        <w:t xml:space="preserve">Vollständige Wiederherstellung des Dienstes, bestätigt entweder durch die Tools von</w:t>
      </w:r>
      <w:r>
        <w:t xml:space="preserve"> </w:t>
      </w:r>
      <w:r>
        <w:t xml:space="preserve">Überwachung des Dienstanbieters entweder durch Benutzerrückgabe und Gewährleistung</w:t>
      </w:r>
      <w:r>
        <w:t xml:space="preserve"> </w:t>
      </w:r>
      <w:r>
        <w:t xml:space="preserve">somit eine wirksame Wiederherstellung von Operationen und ein treues Maß der</w:t>
      </w:r>
      <w:r>
        <w:t xml:space="preserve"> </w:t>
      </w:r>
      <w:r>
        <w:t xml:space="preserve">Dauer der Unterbrechung.</w:t>
      </w:r>
    </w:p>
    <w:bookmarkStart w:id="33" w:name="Xcdf2cd5f357c53bd9434ffb3cc1d7f297561fe0"/>
    <w:p>
      <w:pPr>
        <w:pStyle w:val="Heading3"/>
      </w:pPr>
      <w:r>
        <w:t xml:space="preserve">9.1.Verfügbarkeitsverpflichtungen der Redhat OpenShift -Plattform</w:t>
      </w:r>
    </w:p>
    <w:p>
      <w:pPr>
        <w:pStyle w:val="FirstParagraph"/>
      </w:pPr>
      <w:r>
        <w:t xml:space="preserve">Der Dienstleister verpflichtet sich, ein Maß an Verfügbarkeit aufrechtzuerhalten und</w:t>
      </w:r>
      <w:r>
        <w:t xml:space="preserve"> </w:t>
      </w:r>
      <w:r>
        <w:t xml:space="preserve">Leistung gemäß den für jeden Zeitraum definierten Standards</w:t>
      </w:r>
      <w:r>
        <w:t xml:space="preserve"> </w:t>
      </w:r>
      <w:r>
        <w:t xml:space="preserve">angegeben.Service -Level -Verpflichtungen (Stufe Service</w:t>
      </w:r>
      <w:r>
        <w:t xml:space="preserve"> </w:t>
      </w:r>
      <w:r>
        <w:t xml:space="preserve">Vereinbarungen, SLAs) gilt für den Sponsor</w:t>
      </w:r>
      <w:r>
        <w:t xml:space="preserve"> </w:t>
      </w:r>
      <w:r>
        <w:t xml:space="preserve">implementiert seine Systeme durch mindestens zwei der Bereiche von</w:t>
      </w:r>
      <w:r>
        <w:t xml:space="preserve"> </w:t>
      </w:r>
      <w:r>
        <w:t xml:space="preserve">Verfügbarkeit in der betreffenden Region vorhanden.</w:t>
      </w:r>
    </w:p>
    <w:p>
      <w:pPr>
        <w:pStyle w:val="BodyText"/>
      </w:pPr>
      <w:r>
        <w:t xml:space="preserve">In Ermangelung einer Einhaltung dieser Bedingungen durch den Sponsor,,</w:t>
      </w:r>
      <w:r>
        <w:t xml:space="preserve"> </w:t>
      </w:r>
      <w:r>
        <w:t xml:space="preserve">Er wird nicht in der Lage sein, die Anwendung von zu beanspruchen</w:t>
      </w:r>
      <w:r>
        <w:t xml:space="preserve"> </w:t>
      </w:r>
      <w:r>
        <w:t xml:space="preserve">SLAs betroffen, die speziell durch a identifiziert werden</w:t>
      </w:r>
      <w:r>
        <w:t xml:space="preserve"> </w:t>
      </w:r>
      <w:r>
        <w:t xml:space="preserve">Sternchen (*).Die Zugänglichkeit zu SLAs erfolgt über die Schnittstelle</w:t>
      </w:r>
      <w:r>
        <w:t xml:space="preserve"> </w:t>
      </w:r>
      <w:r>
        <w:t xml:space="preserve">Sponsor.** Die Maßnahmen hören monatlich berechnet **:</w:t>
      </w:r>
    </w:p>
    <w:p>
      <w:pPr>
        <w:pStyle w:val="BodyText"/>
      </w:pPr>
      <w:r>
        <w:t xml:space="preserve">-**SLA 1 (*): IC-PAAS_SNC-01 **-Verfügbarkeit der Plattform</w:t>
      </w:r>
      <w:r>
        <w:t xml:space="preserve"> </w:t>
      </w:r>
      <w:r>
        <w:t xml:space="preserve">Redhat OpenShift: Garantierte Verfügbarkeitsrate von 99,9%, berechnet auf</w:t>
      </w:r>
      <w:r>
        <w:t xml:space="preserve"> </w:t>
      </w:r>
      <w:r>
        <w:t xml:space="preserve">Eine 24 -Stunden -Basis, 7 Tage die Woche.</w:t>
      </w:r>
    </w:p>
    <w:p>
      <w:pPr>
        <w:pStyle w:val="BodyText"/>
      </w:pPr>
      <w:r>
        <w:t xml:space="preserve">*** Bemerkungen ***:</w:t>
      </w:r>
    </w:p>
    <w:p>
      <w:pPr>
        <w:numPr>
          <w:ilvl w:val="0"/>
          <w:numId w:val="1008"/>
        </w:numPr>
      </w:pPr>
      <w:r>
        <w:rPr>
          <w:i/>
          <w:iCs/>
        </w:rPr>
        <w:t xml:space="preserve">Als Reaktion auf einen Angriff durch Ablehnung des verteilten Dienstes (DDOS), die</w:t>
      </w:r>
      <w:r>
        <w:rPr>
          <w:i/>
          <w:iCs/>
        </w:rPr>
        <w:t xml:space="preserve"> </w:t>
      </w:r>
      <w:r>
        <w:rPr>
          <w:i/>
          <w:iCs/>
        </w:rPr>
        <w:t xml:space="preserve">Der Anbieter behält sich das Recht vor, seine Routing -Konfiguration anzupassen</w:t>
      </w:r>
      <w:r>
        <w:rPr>
          <w:i/>
          <w:iCs/>
        </w:rPr>
        <w:t xml:space="preserve"> </w:t>
      </w:r>
      <w:r>
        <w:rPr>
          <w:i/>
          <w:iCs/>
        </w:rPr>
        <w:t xml:space="preserve">Internet, um die Auswirkungen dieses Angriffs zu begrenzen und seine zu retten</w:t>
      </w:r>
      <w:r>
        <w:rPr>
          <w:i/>
          <w:iCs/>
        </w:rPr>
        <w:t xml:space="preserve"> </w:t>
      </w:r>
      <w:r>
        <w:rPr>
          <w:i/>
          <w:iCs/>
        </w:rPr>
        <w:t xml:space="preserve">Infrastruktur.Insbesondere, wenn eine IP -Adresse gehört zu</w:t>
      </w:r>
      <w:r>
        <w:rPr>
          <w:i/>
          <w:iCs/>
        </w:rPr>
        <w:t xml:space="preserve"> </w:t>
      </w:r>
      <w:r>
        <w:rPr>
          <w:i/>
          <w:iCs/>
        </w:rPr>
        <w:t xml:space="preserve">Der Sponsor ist gezielt, der Dienstanbieter kann die Technik nutzen</w:t>
      </w:r>
      <w:r>
        <w:rPr>
          <w:i/>
          <w:iCs/>
        </w:rPr>
        <w:t xml:space="preserve"> </w:t>
      </w:r>
      <w:r>
        <w:rPr>
          <w:i/>
          <w:iCs/>
        </w:rPr>
        <w:t xml:space="preserve">von BlackHoling über die BGP -Community, um den gesamten Verkehr zu blockieren</w:t>
      </w:r>
      <w:r>
        <w:rPr>
          <w:i/>
          <w:iCs/>
        </w:rPr>
        <w:t xml:space="preserve"> </w:t>
      </w:r>
      <w:r>
        <w:rPr>
          <w:i/>
          <w:iCs/>
        </w:rPr>
        <w:t xml:space="preserve">Die IP</w:t>
      </w:r>
      <w:r>
        <w:rPr>
          <w:i/>
          <w:iCs/>
        </w:rPr>
        <w:t xml:space="preserve"> </w:t>
      </w:r>
      <w:r>
        <w:rPr>
          <w:i/>
          <w:iCs/>
        </w:rPr>
        <w:t xml:space="preserve">Schützen Sie die Ressourcen des Sponsors und der anderen anderer</w:t>
      </w:r>
      <w:r>
        <w:rPr>
          <w:i/>
          <w:iCs/>
        </w:rPr>
        <w:t xml:space="preserve"> </w:t>
      </w:r>
      <w:r>
        <w:rPr>
          <w:i/>
          <w:iCs/>
        </w:rPr>
        <w:t xml:space="preserve">Sponsoren und Infrastruktur des Dienstleisters.Der Anbieter</w:t>
      </w:r>
      <w:r>
        <w:rPr>
          <w:i/>
          <w:iCs/>
        </w:rPr>
        <w:t xml:space="preserve"> </w:t>
      </w:r>
      <w:r>
        <w:rPr>
          <w:i/>
          <w:iCs/>
        </w:rPr>
        <w:t xml:space="preserve">ermutigt den Sponsor stark, ähnliche Maßnahmen zu ergreifen,</w:t>
      </w:r>
      <w:r>
        <w:rPr>
          <w:i/>
          <w:iCs/>
        </w:rPr>
        <w:t xml:space="preserve"> </w:t>
      </w:r>
      <w:r>
        <w:rPr>
          <w:i/>
          <w:iCs/>
        </w:rPr>
        <w:t xml:space="preserve">wie die Verwendung von Webanwendungen Firewall -Software</w:t>
      </w:r>
      <w:r>
        <w:rPr>
          <w:i/>
          <w:iCs/>
        </w:rPr>
        <w:t xml:space="preserve"> </w:t>
      </w:r>
      <w:r>
        <w:rPr>
          <w:i/>
          <w:iCs/>
        </w:rPr>
        <w:t xml:space="preserve">Auf dem Markt erhältlich und seine Gruppen sorgfältig konfigurieren</w:t>
      </w:r>
      <w:r>
        <w:rPr>
          <w:i/>
          <w:iCs/>
        </w:rPr>
        <w:t xml:space="preserve"> </w:t>
      </w:r>
      <w:r>
        <w:rPr>
          <w:i/>
          <w:iCs/>
        </w:rPr>
        <w:t xml:space="preserve">Sicherheit über die Kontroll -API.</w:t>
      </w:r>
    </w:p>
    <w:p>
      <w:pPr>
        <w:numPr>
          <w:ilvl w:val="0"/>
          <w:numId w:val="1008"/>
        </w:numPr>
      </w:pPr>
      <w:r>
        <w:rPr>
          <w:i/>
          <w:iCs/>
        </w:rPr>
        <w:t xml:space="preserve">Der Dienstleister besteht auf der Notwendigkeit des Sponsors von</w:t>
      </w:r>
      <w:r>
        <w:rPr>
          <w:i/>
          <w:iCs/>
        </w:rPr>
        <w:t xml:space="preserve"> </w:t>
      </w:r>
      <w:r>
        <w:rPr>
          <w:i/>
          <w:iCs/>
        </w:rPr>
        <w:t xml:space="preserve">Minimieren Sie die Flussöffnungen, insbesondere die Herstellung vermeiden</w:t>
      </w:r>
      <w:r>
        <w:rPr>
          <w:i/>
          <w:iCs/>
        </w:rPr>
        <w:t xml:space="preserve"> </w:t>
      </w:r>
      <w:r>
        <w:rPr>
          <w:i/>
          <w:iCs/>
        </w:rPr>
        <w:t xml:space="preserve">Zugriff auf die Administrationsanschlüsse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SSH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 TCP 22) und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RDP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(TCP-Port 3389) aus dem Internet-Set (Unternetzwerk</w:t>
      </w:r>
      <w:r>
        <w:rPr>
          <w:i/>
          <w:iCs/>
        </w:rPr>
        <w:t xml:space="preserve"> </w:t>
      </w:r>
      <w:r>
        <w:rPr>
          <w:i/>
          <w:iCs/>
        </w:rPr>
        <w:t xml:space="preserve">0.0.0.0/0) sowie interne Protokolle wie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SMB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</w:t>
      </w:r>
      <w:r>
        <w:rPr>
          <w:i/>
          <w:iCs/>
        </w:rPr>
        <w:t xml:space="preserve"> </w:t>
      </w:r>
      <w:r>
        <w:rPr>
          <w:i/>
          <w:iCs/>
        </w:rPr>
        <w:t xml:space="preserve">TCP/UDP 445) oder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NFS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(TCP/UDP 2049 Port).</w:t>
      </w:r>
    </w:p>
    <w:bookmarkEnd w:id="33"/>
    <w:bookmarkEnd w:id="34"/>
    <w:bookmarkStart w:id="38" w:name="Xc1bd5eb3fe74bd22106bd090fa427ab3ae3a873"/>
    <w:p>
      <w:pPr>
        <w:pStyle w:val="Heading2"/>
      </w:pPr>
      <w:r>
        <w:t xml:space="preserve">10. Anwendbares Shared Responsibility -Modell</w:t>
      </w:r>
    </w:p>
    <w:bookmarkStart w:id="35" w:name="Xc9008b80f3f090079bac0f91b195a7bef5ba4fb"/>
    <w:p>
      <w:pPr>
        <w:pStyle w:val="Heading3"/>
      </w:pPr>
      <w:r>
        <w:t xml:space="preserve">10.1.Verantwortung und Verpflichtungen des Anbieters</w:t>
      </w:r>
    </w:p>
    <w:p>
      <w:pPr>
        <w:pStyle w:val="FirstParagraph"/>
      </w:pPr>
      <w:r>
        <w:t xml:space="preserve">Der Dienstleister verpflichtet sich, den Sponsor von zu bieten</w:t>
      </w:r>
      <w:r>
        <w:t xml:space="preserve"> </w:t>
      </w:r>
      <w:r>
        <w:t xml:space="preserve">Benutzeroberflächen in französischer und englischer Sprache und ermöglichen so</w:t>
      </w:r>
      <w:r>
        <w:t xml:space="preserve"> </w:t>
      </w:r>
      <w:r>
        <w:t xml:space="preserve">Zugang und Management der erbrachten Dienstleistungen.Der Sponsor, er</w:t>
      </w:r>
      <w:r>
        <w:t xml:space="preserve"> </w:t>
      </w:r>
      <w:r>
        <w:t xml:space="preserve">Seite verpflichten sich, rechtliche und behördliche Einschränkungen einzuhalten in</w:t>
      </w:r>
      <w:r>
        <w:t xml:space="preserve"> </w:t>
      </w:r>
      <w:r>
        <w:t xml:space="preserve">Vigor in Bezug auf die Daten, die er dem Dienstleister anvertraut</w:t>
      </w:r>
      <w:r>
        <w:t xml:space="preserve"> </w:t>
      </w:r>
      <w:r>
        <w:t xml:space="preserve">Behandlung.</w:t>
      </w:r>
    </w:p>
    <w:p>
      <w:pPr>
        <w:pStyle w:val="BodyText"/>
      </w:pPr>
      <w:r>
        <w:t xml:space="preserve">Im Falle einer Datenübertragung unterliegt der gesetzlichen Anforderungen</w:t>
      </w:r>
      <w:r>
        <w:t xml:space="preserve"> </w:t>
      </w:r>
      <w:r>
        <w:t xml:space="preserve">Spezifisch wird der Dienstanbieter mit dem Sponsor zusammenarbeiten</w:t>
      </w:r>
      <w:r>
        <w:t xml:space="preserve"> </w:t>
      </w:r>
      <w:r>
        <w:t xml:space="preserve">Identifizieren und implementieren die erforderlichen Sicherheitsmaßnahmen,</w:t>
      </w:r>
      <w:r>
        <w:t xml:space="preserve"> </w:t>
      </w:r>
      <w:r>
        <w:t xml:space="preserve">gemäß den Verpflichtungen des Anbieters und im Rahmen des Rahmens von</w:t>
      </w:r>
      <w:r>
        <w:t xml:space="preserve"> </w:t>
      </w:r>
      <w:r>
        <w:t xml:space="preserve">Bereitstellung von Dienstleistungen.</w:t>
      </w:r>
    </w:p>
    <w:p>
      <w:pPr>
        <w:pStyle w:val="BodyText"/>
      </w:pPr>
      <w:r>
        <w:t xml:space="preserve">Der Anbieter nimmt auch die Verpflichtung ein, zu prüfen und zu nehmen</w:t>
      </w:r>
      <w:r>
        <w:t xml:space="preserve"> </w:t>
      </w:r>
      <w:r>
        <w:t xml:space="preserve">In Anbetracht der spezifischen Bedürfnisse, die mit den Aktivitätssektoren verbunden sind</w:t>
      </w:r>
      <w:r>
        <w:t xml:space="preserve"> </w:t>
      </w:r>
      <w:r>
        <w:t xml:space="preserve">des Sponsors, die die Grenzen seiner Verantwortung respektieren,</w:t>
      </w:r>
      <w:r>
        <w:t xml:space="preserve"> </w:t>
      </w:r>
      <w:r>
        <w:t xml:space="preserve">Um ein Sicherheitsniveau zu gewährleisten, das den verarbeiteten Informationen angepasst ist.</w:t>
      </w:r>
    </w:p>
    <w:p>
      <w:pPr>
        <w:pStyle w:val="BodyText"/>
      </w:pPr>
      <w:r>
        <w:t xml:space="preserve">Wenn ein Projekt wahrscheinlich die Sicherheit des angebotenen Dienstes beeinflusst</w:t>
      </w:r>
      <w:r>
        <w:t xml:space="preserve"> </w:t>
      </w:r>
      <w:r>
        <w:t xml:space="preserve">oder die Verfügbarkeit des Dienstes oder um einen Verlust von zu generieren</w:t>
      </w:r>
      <w:r>
        <w:t xml:space="preserve"> </w:t>
      </w:r>
      <w:r>
        <w:t xml:space="preserve">Funktionen, die der Dienstleister verpflichtet, über die Konsole zu informieren</w:t>
      </w:r>
      <w:r>
        <w:t xml:space="preserve"> </w:t>
      </w:r>
      <w:r>
        <w:t xml:space="preserve">oder per E -Mail in Kontakt mit dem Sponsor und innerhalb einer angemessenen Zeit</w:t>
      </w:r>
      <w:r>
        <w:t xml:space="preserve"> </w:t>
      </w:r>
      <w:r>
        <w:t xml:space="preserve">Der Sponsor potenzieller Auswirkungen, Korrekturmaßnahmen</w:t>
      </w:r>
      <w:r>
        <w:t xml:space="preserve"> </w:t>
      </w:r>
      <w:r>
        <w:t xml:space="preserve">vorgestellte und verbleibende Risiken, die ihn betreffen, um a zu gewährleisten</w:t>
      </w:r>
      <w:r>
        <w:t xml:space="preserve"> </w:t>
      </w:r>
      <w:r>
        <w:t xml:space="preserve">Gesamttransparenz.</w:t>
      </w:r>
    </w:p>
    <w:p>
      <w:pPr>
        <w:pStyle w:val="BodyText"/>
      </w:pPr>
      <w:r>
        <w:t xml:space="preserve">Der Dienstleister verpflichtet sich, die Daten nicht vom Sponsor zu verwenden</w:t>
      </w:r>
      <w:r>
        <w:t xml:space="preserve"> </w:t>
      </w:r>
      <w:r>
        <w:t xml:space="preserve">von der Produktion bis zur Durchführung von Tests mit Ausnahme von</w:t>
      </w:r>
      <w:r>
        <w:t xml:space="preserve"> </w:t>
      </w:r>
      <w:r>
        <w:t xml:space="preserve">Erhalten Sie vorher die ausdrückliche Genehmigung des Sponsors, an wen</w:t>
      </w:r>
      <w:r>
        <w:t xml:space="preserve"> </w:t>
      </w:r>
      <w:r>
        <w:t xml:space="preserve">Fälle, die der Anbieter verpflichtet, diese Daten zu anonymisieren und ihre sicherzustellen</w:t>
      </w:r>
      <w:r>
        <w:t xml:space="preserve"> </w:t>
      </w:r>
      <w:r>
        <w:t xml:space="preserve">Vertraulichkeit während ihrer Anonymisierung.</w:t>
      </w:r>
    </w:p>
    <w:p>
      <w:pPr>
        <w:pStyle w:val="BodyText"/>
      </w:pPr>
      <w:r>
        <w:t xml:space="preserve">Im Falle einer Änderung des Subunternehmers zur Unterbringung,,</w:t>
      </w:r>
      <w:r>
        <w:t xml:space="preserve"> </w:t>
      </w:r>
      <w:r>
        <w:t xml:space="preserve">Der Anbieter wird den Sponsor stromaufwärts informieren und versichern, dass dies</w:t>
      </w:r>
      <w:r>
        <w:t xml:space="preserve"> </w:t>
      </w:r>
      <w:r>
        <w:t xml:space="preserve">Der Übergang wirkt sich nicht negativ auf den bereitgestellten Dienst aus.</w:t>
      </w:r>
    </w:p>
    <w:p>
      <w:pPr>
        <w:pStyle w:val="BodyText"/>
      </w:pPr>
      <w:r>
        <w:t xml:space="preserve">Auf Wunsch des Sponsors gewährt der Dienstleister Zugang zu seiner</w:t>
      </w:r>
      <w:r>
        <w:t xml:space="preserve"> </w:t>
      </w:r>
      <w:r>
        <w:t xml:space="preserve">Interne Vorschriften zu seiner Ethik -Charta auf anwendbare Sanktionen</w:t>
      </w:r>
      <w:r>
        <w:t xml:space="preserve"> </w:t>
      </w:r>
      <w:r>
        <w:t xml:space="preserve">Im Falle einer Nichteinhaltung seiner Sicherheitsrichtlinie zu Ereignissen die</w:t>
      </w:r>
      <w:r>
        <w:t xml:space="preserve"> </w:t>
      </w:r>
      <w:r>
        <w:t xml:space="preserve">In Bezug auf Verfahren im Zusammenhang mit dem Service und den Anforderungen</w:t>
      </w:r>
      <w:r>
        <w:t xml:space="preserve"> </w:t>
      </w:r>
      <w:r>
        <w:t xml:space="preserve">Spezifische Sicherheit.</w:t>
      </w:r>
    </w:p>
    <w:p>
      <w:pPr>
        <w:pStyle w:val="BodyText"/>
      </w:pPr>
      <w:r>
        <w:t xml:space="preserve">Der Dienstleister verpflichtet sich, den Sponsor über eine Änderung zu informieren</w:t>
      </w:r>
      <w:r>
        <w:t xml:space="preserve"> </w:t>
      </w:r>
      <w:r>
        <w:t xml:space="preserve">Softwareelemente unter der Verantwortung von Cloud zu bekommen</w:t>
      </w:r>
      <w:r>
        <w:t xml:space="preserve"> </w:t>
      </w:r>
      <w:r>
        <w:t xml:space="preserve">Tempel, solange die vollständige Kompatibilität nicht sichergestellt werden kann.</w:t>
      </w:r>
    </w:p>
    <w:bookmarkEnd w:id="35"/>
    <w:bookmarkStart w:id="36" w:name="haftungsbeschränkung-des-anbieters"/>
    <w:p>
      <w:pPr>
        <w:pStyle w:val="Heading3"/>
      </w:pPr>
      <w:r>
        <w:t xml:space="preserve">10.2.Haftungsbeschränkung des Anbieters</w:t>
      </w:r>
    </w:p>
    <w:p>
      <w:pPr>
        <w:pStyle w:val="FirstParagraph"/>
      </w:pPr>
      <w:r>
        <w:t xml:space="preserve">Die gemeinsame Haftungsstruktur reduziert effektiv das Ausmaß</w:t>
      </w:r>
      <w:r>
        <w:t xml:space="preserve"> </w:t>
      </w:r>
      <w:r>
        <w:t xml:space="preserve">von der Intervention des Dienstleisters bis hin zu den mit dem Angebot verbundenen Aspekte</w:t>
      </w:r>
      <w:r>
        <w:t xml:space="preserve"> </w:t>
      </w:r>
      <w:r>
        <w:t xml:space="preserve">Eine funktionale Redhat -OpenShift -Plattform, bestehend aus:</w:t>
      </w:r>
    </w:p>
    <w:p>
      <w:pPr>
        <w:pStyle w:val="Compact"/>
        <w:numPr>
          <w:ilvl w:val="0"/>
          <w:numId w:val="1009"/>
        </w:numPr>
      </w:pPr>
      <w:r>
        <w:t xml:space="preserve">Management der IaaS -Infrastruktur, die die Plattform unterstützt</w:t>
      </w:r>
      <w:r>
        <w:t xml:space="preserve"> </w:t>
      </w:r>
      <w:r>
        <w:t xml:space="preserve">Redhat OpenShift und seine Bereitstellung,</w:t>
      </w:r>
    </w:p>
    <w:p>
      <w:pPr>
        <w:pStyle w:val="Compact"/>
        <w:numPr>
          <w:ilvl w:val="0"/>
          <w:numId w:val="1009"/>
        </w:numPr>
      </w:pPr>
      <w:r>
        <w:t xml:space="preserve">Die Verwaltung der Systeme, die für das ordnungsgemäße Funktionieren der erforderlichen Systeme erforderlich sind</w:t>
      </w:r>
      <w:r>
        <w:t xml:space="preserve"> </w:t>
      </w:r>
      <w:r>
        <w:t xml:space="preserve">Plattform,</w:t>
      </w:r>
    </w:p>
    <w:p>
      <w:pPr>
        <w:pStyle w:val="Compact"/>
        <w:numPr>
          <w:ilvl w:val="0"/>
          <w:numId w:val="1009"/>
        </w:numPr>
      </w:pPr>
      <w:r>
        <w:t xml:space="preserve">Sicherheitsbedingungen aufrechterhalten,</w:t>
      </w:r>
    </w:p>
    <w:p>
      <w:pPr>
        <w:pStyle w:val="Compact"/>
        <w:numPr>
          <w:ilvl w:val="0"/>
          <w:numId w:val="1009"/>
        </w:numPr>
      </w:pPr>
      <w:r>
        <w:t xml:space="preserve">Aktualisierung der Redhat OpenShift -Plattform,</w:t>
      </w:r>
    </w:p>
    <w:p>
      <w:pPr>
        <w:pStyle w:val="Compact"/>
        <w:numPr>
          <w:ilvl w:val="0"/>
          <w:numId w:val="1009"/>
        </w:numPr>
      </w:pPr>
      <w:r>
        <w:t xml:space="preserve">Die Sicherung der essentiellen Konfigurationsdaten davon</w:t>
      </w:r>
      <w:r>
        <w:t xml:space="preserve"> </w:t>
      </w:r>
      <w:r>
        <w:t xml:space="preserve">Plattform mit Ausnahme von Daten und Anwendungen von</w:t>
      </w:r>
      <w:r>
        <w:t xml:space="preserve"> </w:t>
      </w:r>
      <w:r>
        <w:t xml:space="preserve">Sponsor, der unter seine Verantwortung liegt.</w:t>
      </w:r>
    </w:p>
    <w:p>
      <w:pPr>
        <w:pStyle w:val="FirstParagraph"/>
      </w:pPr>
      <w:r>
        <w:t xml:space="preserve">Sie schließt insbesondere aus, ohne sich zu begrenzen:</w:t>
      </w:r>
    </w:p>
    <w:p>
      <w:pPr>
        <w:pStyle w:val="Compact"/>
        <w:numPr>
          <w:ilvl w:val="0"/>
          <w:numId w:val="1010"/>
        </w:numPr>
      </w:pPr>
      <w:r>
        <w:t xml:space="preserve">Aktualisierung von Betriebssystemen und installierten Software</w:t>
      </w:r>
      <w:r>
        <w:t xml:space="preserve"> </w:t>
      </w:r>
      <w:r>
        <w:t xml:space="preserve">vom Sponsor in seinen OpenShift -Umgebungen in seinen Räumen</w:t>
      </w:r>
      <w:r>
        <w:t xml:space="preserve"> </w:t>
      </w:r>
      <w:r>
        <w:t xml:space="preserve">Miete,</w:t>
      </w:r>
    </w:p>
    <w:p>
      <w:pPr>
        <w:pStyle w:val="Compact"/>
        <w:numPr>
          <w:ilvl w:val="0"/>
          <w:numId w:val="1010"/>
        </w:numPr>
      </w:pPr>
      <w:r>
        <w:t xml:space="preserve">Die Sicherheit von Programmen, Software und Anwendungen installiert in</w:t>
      </w:r>
      <w:r>
        <w:t xml:space="preserve"> </w:t>
      </w:r>
      <w:r>
        <w:t xml:space="preserve">Innerhalb der OpenShift -Umgebung durch den Sponsor,</w:t>
      </w:r>
    </w:p>
    <w:p>
      <w:pPr>
        <w:pStyle w:val="Compact"/>
        <w:numPr>
          <w:ilvl w:val="0"/>
          <w:numId w:val="1010"/>
        </w:numPr>
      </w:pPr>
      <w:r>
        <w:t xml:space="preserve">Datensicherung auf Anwendungsebene,</w:t>
      </w:r>
    </w:p>
    <w:p>
      <w:pPr>
        <w:pStyle w:val="Compact"/>
        <w:numPr>
          <w:ilvl w:val="0"/>
          <w:numId w:val="1010"/>
        </w:numPr>
      </w:pPr>
      <w:r>
        <w:t xml:space="preserve">Die Konfiguration der Schutzrichtlinien.</w:t>
      </w:r>
    </w:p>
    <w:bookmarkEnd w:id="36"/>
    <w:bookmarkStart w:id="37" w:name="zugangsbeschränkung"/>
    <w:p>
      <w:pPr>
        <w:pStyle w:val="Heading3"/>
      </w:pPr>
      <w:r>
        <w:t xml:space="preserve">10.3.Zugangsbeschränkung</w:t>
      </w:r>
    </w:p>
    <w:p>
      <w:pPr>
        <w:pStyle w:val="FirstParagraph"/>
      </w:pPr>
      <w:r>
        <w:t xml:space="preserve">Im Rahmen dieser Servicevereinbarung ist der Dienstleister</w:t>
      </w:r>
      <w:r>
        <w:t xml:space="preserve"> </w:t>
      </w:r>
      <w:r>
        <w:t xml:space="preserve">formell verboten, auf die Befürworter zuzugreifen, die der gehören</w:t>
      </w:r>
      <w:r>
        <w:t xml:space="preserve"> </w:t>
      </w:r>
      <w:r>
        <w:t xml:space="preserve">Sponsor ohne vorherige Genehmigung.Es ist Verantwortung</w:t>
      </w:r>
      <w:r>
        <w:t xml:space="preserve"> </w:t>
      </w:r>
      <w:r>
        <w:t xml:space="preserve">des Sponsor</w:t>
      </w:r>
      <w:r>
        <w:t xml:space="preserve"> </w:t>
      </w:r>
      <w:r>
        <w:t xml:space="preserve">Anbieter entsprechend den spezifischen Bedürfnissen der Unterbringung und des Falls</w:t>
      </w:r>
      <w:r>
        <w:t xml:space="preserve"> </w:t>
      </w:r>
      <w:r>
        <w:t xml:space="preserve">Verwandte, professionelle Support -Dienstleistungen, wenn diese Option war</w:t>
      </w:r>
      <w:r>
        <w:t xml:space="preserve"> </w:t>
      </w:r>
      <w:r>
        <w:t xml:space="preserve">vom Sponsor ausgewählt.</w:t>
      </w:r>
    </w:p>
    <w:p>
      <w:pPr>
        <w:pStyle w:val="BodyText"/>
      </w:pPr>
      <w:r>
        <w:t xml:space="preserve">Der Sponsor erkennt an, dass dieser Zugang ausschließlich gewährt wird</w:t>
      </w:r>
      <w:r>
        <w:t xml:space="preserve"> </w:t>
      </w:r>
      <w:r>
        <w:t xml:space="preserve">Für die Bedürfnisse im Zusammenhang mit der Bereitstellung vereinbarter Dienstleistungen, stellen Sie sicher</w:t>
      </w:r>
      <w:r>
        <w:t xml:space="preserve"> </w:t>
      </w:r>
      <w:r>
        <w:t xml:space="preserve">Somit ein sicheres Management und in Übereinstimmung mit den Bestimmungen der Vereinbarung.</w:t>
      </w:r>
    </w:p>
    <w:p>
      <w:pPr>
        <w:pStyle w:val="BodyText"/>
      </w:pPr>
      <w:r>
        <w:t xml:space="preserve">Fernzugriff durch Dritte, die an der Dienstleistung beteiligt sind</w:t>
      </w:r>
      <w:r>
        <w:t xml:space="preserve"> </w:t>
      </w:r>
      <w:r>
        <w:t xml:space="preserve">des Anbieters ist strengstens verboten.Für den Fall, dass a</w:t>
      </w:r>
      <w:r>
        <w:t xml:space="preserve"> </w:t>
      </w:r>
      <w:r>
        <w:t xml:space="preserve">Spezifische technische Anforderungen würden einen solchen Zugriff erfordern, dies</w:t>
      </w:r>
      <w:r>
        <w:t xml:space="preserve"> </w:t>
      </w:r>
      <w:r>
        <w:t xml:space="preserve">könnte festgestellt werden, dass nach klar meldet die</w:t>
      </w:r>
      <w:r>
        <w:t xml:space="preserve"> </w:t>
      </w:r>
      <w:r>
        <w:t xml:space="preserve">Der Sponsor gab eine detaillierte Rechtfertigung vor und erhielt seine Vereinbarung</w:t>
      </w:r>
      <w:r>
        <w:t xml:space="preserve"> </w:t>
      </w:r>
      <w:r>
        <w:t xml:space="preserve">Schreiben.</w:t>
      </w:r>
    </w:p>
    <w:p>
      <w:pPr>
        <w:pStyle w:val="BodyText"/>
      </w:pPr>
      <w:r>
        <w:t xml:space="preserve">Diese Maßnahme garantiert die Kontrolle und Sicherheit von Daten von</w:t>
      </w:r>
      <w:r>
        <w:t xml:space="preserve"> </w:t>
      </w:r>
      <w:r>
        <w:t xml:space="preserve">Sponsor, um sicherzustellen, dass eine Ausnahme von der Regel ordnungsgemäß ist</w:t>
      </w:r>
      <w:r>
        <w:t xml:space="preserve"> </w:t>
      </w:r>
      <w:r>
        <w:t xml:space="preserve">autorisiert und dokumentiert.</w:t>
      </w:r>
    </w:p>
    <w:bookmarkEnd w:id="37"/>
    <w:bookmarkEnd w:id="38"/>
    <w:bookmarkStart w:id="39" w:name="daten-am-ende-des-vertrags-löschen"/>
    <w:p>
      <w:pPr>
        <w:pStyle w:val="Heading2"/>
      </w:pPr>
      <w:r>
        <w:t xml:space="preserve">11. Daten am Ende des Vertrags löschen</w:t>
      </w:r>
    </w:p>
    <w:p>
      <w:pPr>
        <w:pStyle w:val="FirstParagraph"/>
      </w:pPr>
      <w:r>
        <w:t xml:space="preserve">Am Ende des Vertrags ist es wichtig oder dass es gekündigt wird</w:t>
      </w:r>
      <w:r>
        <w:t xml:space="preserve"> </w:t>
      </w:r>
      <w:r>
        <w:t xml:space="preserve">Aus irgendeinem Grund verpflichtet sich der Dienstleister, weiter fortzufahren</w:t>
      </w:r>
      <w:r>
        <w:t xml:space="preserve"> </w:t>
      </w:r>
      <w:r>
        <w:t xml:space="preserve">Die sichere Löschung der gesamten Daten des Sponsors Y.</w:t>
      </w:r>
      <w:r>
        <w:t xml:space="preserve"> </w:t>
      </w:r>
      <w:r>
        <w:t xml:space="preserve">einschließlich technischer Daten.Der Anbieter wird sichern</w:t>
      </w:r>
      <w:r>
        <w:t xml:space="preserve"> </w:t>
      </w:r>
      <w:r>
        <w:t xml:space="preserve">mit dem Sponsor eine formelle Mitteilung vermitteln und einen Zeitraum von respektieren</w:t>
      </w:r>
      <w:r>
        <w:t xml:space="preserve"> </w:t>
      </w:r>
      <w:r>
        <w:t xml:space="preserve">Twenty -One (21) Kalendertage.Die Daten des Sponsors werden sein</w:t>
      </w:r>
      <w:r>
        <w:t xml:space="preserve"> </w:t>
      </w:r>
      <w:r>
        <w:t xml:space="preserve">dann innerhalb einer maximalen Zeit von dreißig (30) Tagen später gelöscht</w:t>
      </w:r>
      <w:r>
        <w:t xml:space="preserve"> </w:t>
      </w:r>
      <w:r>
        <w:t xml:space="preserve">cette notification.</w:t>
      </w:r>
    </w:p>
    <w:p>
      <w:pPr>
        <w:pStyle w:val="BodyText"/>
      </w:pPr>
      <w:r>
        <w:t xml:space="preserve">Pour attester de cette suppression, le Prestataire remettra au</w:t>
      </w:r>
      <w:r>
        <w:t xml:space="preserve"> </w:t>
      </w:r>
      <w:r>
        <w:t xml:space="preserve">COMMANDITAIRE un certificat confirmant l'effacement des données.</w:t>
      </w:r>
    </w:p>
    <w:bookmarkEnd w:id="39"/>
    <w:bookmarkStart w:id="40" w:name="droit-applicable"/>
    <w:p>
      <w:pPr>
        <w:pStyle w:val="Heading2"/>
      </w:pPr>
      <w:r>
        <w:t xml:space="preserve">12. Droit applicable</w:t>
      </w:r>
    </w:p>
    <w:p>
      <w:pPr>
        <w:pStyle w:val="FirstParagraph"/>
      </w:pPr>
      <w:r>
        <w:t xml:space="preserve">Le droit applicable pour la presente convention de service est le droit</w:t>
      </w:r>
      <w:r>
        <w:t xml:space="preserve"> </w:t>
      </w:r>
      <w:r>
        <w:t xml:space="preserve">français.</w:t>
      </w:r>
    </w:p>
    <w:p>
      <w:pPr>
        <w:pStyle w:val="BodyText"/>
      </w:pPr>
      <w:r>
        <w:t xml:space="preserve">En cas de recours par le Prestataire, dans le cadre des services fournis</w:t>
      </w:r>
      <w:r>
        <w:t xml:space="preserve"> </w:t>
      </w:r>
      <w:r>
        <w:t xml:space="preserve">au COMMANDITAIRE, à une société tierce, y compris un sous-traitant, dont</w:t>
      </w:r>
      <w:r>
        <w:t xml:space="preserve"> </w:t>
      </w:r>
      <w:r>
        <w:t xml:space="preserve">le siège social, l'administration centrale ou le principal</w:t>
      </w:r>
      <w:r>
        <w:t xml:space="preserve"> </w:t>
      </w:r>
      <w:r>
        <w:t xml:space="preserve">Die Einrichtung befindet sich in einem Nicht -Mitglied der Europäischen Union,</w:t>
      </w:r>
      <w:r>
        <w:t xml:space="preserve"> </w:t>
      </w:r>
      <w:r>
        <w:t xml:space="preserve">oder wer ist Eigentum oder unter der Kontrolle eines dritten Partyunternehmens</w:t>
      </w:r>
      <w:r>
        <w:t xml:space="preserve"> </w:t>
      </w:r>
      <w:r>
        <w:t xml:space="preserve">Der Dienstleister außerhalb der Europäischen Union ist der Dienst und ist verpflichtet</w:t>
      </w:r>
      <w:r>
        <w:t xml:space="preserve"> </w:t>
      </w:r>
      <w:r>
        <w:t xml:space="preserve">Stellen Sie sicher</w:t>
      </w:r>
      <w:r>
        <w:t xml:space="preserve"> </w:t>
      </w:r>
      <w:r>
        <w:t xml:space="preserve">vom Dienstanbieter verarbeitet.</w:t>
      </w:r>
    </w:p>
    <w:p>
      <w:pPr>
        <w:pStyle w:val="BodyText"/>
      </w:pPr>
      <w:r>
        <w:t xml:space="preserve">Es ist zu beachten, dass die darauf genannten Daten diejenigen enthalten</w:t>
      </w:r>
      <w:r>
        <w:t xml:space="preserve"> </w:t>
      </w:r>
      <w:r>
        <w:t xml:space="preserve">Anbieter des Sponsors sowie alle Daten</w:t>
      </w:r>
      <w:r>
        <w:t xml:space="preserve"> </w:t>
      </w:r>
      <w:r>
        <w:t xml:space="preserve">Techniken wie Identitäten der Begünstigten und</w:t>
      </w:r>
      <w:r>
        <w:t xml:space="preserve"> </w:t>
      </w:r>
      <w:r>
        <w:t xml:space="preserve">Administratoren der technischen Infrastruktur, die Daten manipuliert</w:t>
      </w:r>
      <w:r>
        <w:t xml:space="preserve"> </w:t>
      </w:r>
      <w:r>
        <w:t xml:space="preserve">nach Netzwerken, Zeitungen der technischen Infrastruktur,</w:t>
      </w:r>
      <w:r>
        <w:t xml:space="preserve"> </w:t>
      </w:r>
      <w:r>
        <w:t xml:space="preserve">Verzeichnis, Zertifikate, Zugriffskonfiguration usw.,</w:t>
      </w:r>
      <w:r>
        <w:t xml:space="preserve"> </w:t>
      </w:r>
      <w:r>
        <w:t xml:space="preserve">Informationen zum Sponsor enthalten.</w:t>
      </w:r>
    </w:p>
    <w:p>
      <w:pPr>
        <w:pStyle w:val="BodyText"/>
      </w:pPr>
      <w:r>
        <w:t xml:space="preserve">Für die Präzision wird das Kontrollkonzept in Übereinstimmung mit dem II von definiert</w:t>
      </w:r>
      <w:r>
        <w:t xml:space="preserve"> </w:t>
      </w:r>
      <w:r>
        <w:t xml:space="preserve">Artikel L233-3 des kommerziellen Code.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8122">
    <w:nsid w:val="0A998122"/>
    <w:multiLevelType w:val="multilevel"/>
    <w:lvl w:ilvl="0">
      <w:start w:val="22"/>
      <w:numFmt w:val="upperLetter"/>
      <w:lvlText w:val="%1."/>
      <w:lvlJc w:val="left"/>
      <w:pPr>
        <w:ind w:left="720" w:hanging="360"/>
      </w:pPr>
    </w:lvl>
    <w:lvl w:ilvl="1">
      <w:start w:val="22"/>
      <w:numFmt w:val="upperLetter"/>
      <w:lvlText w:val="%2."/>
      <w:lvlJc w:val="left"/>
      <w:pPr>
        <w:ind w:left="1440" w:hanging="360"/>
      </w:pPr>
    </w:lvl>
    <w:lvl w:ilvl="2">
      <w:start w:val="22"/>
      <w:numFmt w:val="upperLetter"/>
      <w:lvlText w:val="%3."/>
      <w:lvlJc w:val="left"/>
      <w:pPr>
        <w:ind w:left="2160" w:hanging="360"/>
      </w:pPr>
    </w:lvl>
    <w:lvl w:ilvl="3">
      <w:start w:val="22"/>
      <w:numFmt w:val="upperLetter"/>
      <w:lvlText w:val="%4."/>
      <w:lvlJc w:val="left"/>
      <w:pPr>
        <w:ind w:left="2880" w:hanging="360"/>
      </w:pPr>
    </w:lvl>
    <w:lvl w:ilvl="4">
      <w:start w:val="22"/>
      <w:numFmt w:val="upperLetter"/>
      <w:lvlText w:val="%5."/>
      <w:lvlJc w:val="left"/>
      <w:pPr>
        <w:ind w:left="3600" w:hanging="360"/>
      </w:pPr>
    </w:lvl>
    <w:lvl w:ilvl="5">
      <w:start w:val="22"/>
      <w:numFmt w:val="upperLetter"/>
      <w:lvlText w:val="%6."/>
      <w:lvlJc w:val="left"/>
      <w:pPr>
        <w:ind w:left="4320" w:hanging="360"/>
      </w:pPr>
    </w:lvl>
    <w:lvl w:ilvl="6">
      <w:start w:val="22"/>
      <w:numFmt w:val="upperLetter"/>
      <w:lvlText w:val="%7."/>
      <w:lvlJc w:val="left"/>
      <w:pPr>
        <w:ind w:left="5040" w:hanging="360"/>
      </w:pPr>
    </w:lvl>
    <w:lvl w:ilvl="7">
      <w:start w:val="22"/>
      <w:numFmt w:val="upperLetter"/>
      <w:lvlText w:val="%8."/>
      <w:lvlJc w:val="left"/>
      <w:pPr>
        <w:ind w:left="5760" w:hanging="360"/>
      </w:pPr>
    </w:lvl>
    <w:lvl w:ilvl="8">
      <w:start w:val="22"/>
      <w:numFmt w:val="upperLetter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8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2025-03-19T16:16:10Z</dcterms:created>
  <dcterms:modified xsi:type="dcterms:W3CDTF">2025-03-19T16:16:10Z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