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** Table of contents **</w:t>
      </w:r>
    </w:p>
    <w:p>
      <w:pPr>
        <w:pStyle w:val="Compact"/>
        <w:numPr>
          <w:ilvl w:val="0"/>
          <w:numId w:val="1001"/>
        </w:numPr>
      </w:pPr>
      <w:r>
        <w:t xml:space="preserve">[1.Framework] (#X09AF6387E1D2792B8EDC09FC15ABD136A837DB5)</w:t>
      </w:r>
    </w:p>
    <w:p>
      <w:pPr>
        <w:pStyle w:val="Compact"/>
        <w:numPr>
          <w:ilvl w:val="0"/>
          <w:numId w:val="1001"/>
        </w:numPr>
      </w:pPr>
      <w:r>
        <w:t xml:space="preserve">[2.Acronyms] (#XC79D173393C04B42BA8CDF223CCA3C0202F4DEE)</w:t>
      </w:r>
    </w:p>
    <w:p>
      <w:pPr>
        <w:pStyle w:val="Compact"/>
        <w:numPr>
          <w:ilvl w:val="0"/>
          <w:numId w:val="1001"/>
        </w:numPr>
      </w:pPr>
      <w:r>
        <w:t xml:space="preserve">[3.Glossary] (#x0C9D1D82FDC5FCC3D01A320DD2DD3715A6900B4)</w:t>
      </w:r>
    </w:p>
    <w:p>
      <w:pPr>
        <w:pStyle w:val="Compact"/>
        <w:numPr>
          <w:ilvl w:val="0"/>
          <w:numId w:val="1001"/>
        </w:numPr>
      </w:pPr>
      <w:r>
        <w:t xml:space="preserve">[4.Object of the paas service agreement of</w:t>
      </w:r>
      <w:r>
        <w:t xml:space="preserve"> </w:t>
      </w:r>
      <w:r>
        <w:t xml:space="preserve">Provider] (#X23C3C3767539F9E69CC7CBF5AF8AA8C1B6AD7)</w:t>
      </w:r>
    </w:p>
    <w:p>
      <w:pPr>
        <w:pStyle w:val="Compact"/>
        <w:numPr>
          <w:ilvl w:val="0"/>
          <w:numId w:val="1001"/>
        </w:numPr>
      </w:pPr>
      <w:r>
        <w:t xml:space="preserve">[5.Evolution of the service agreement</w:t>
      </w:r>
      <w:r>
        <w:t xml:space="preserve"> </w:t>
      </w:r>
      <w:r>
        <w:t xml:space="preserve">PAAS] (#XA7161677DCF9A35D02C20807040326B39D55881)</w:t>
      </w:r>
    </w:p>
    <w:p>
      <w:pPr>
        <w:pStyle w:val="Compact"/>
        <w:numPr>
          <w:ilvl w:val="0"/>
          <w:numId w:val="1001"/>
        </w:numPr>
      </w:pPr>
      <w:r>
        <w:t xml:space="preserve">[6.Audit] (#x910E2801262de94Af71544B8FB509CC70CC79A)</w:t>
      </w:r>
    </w:p>
    <w:p>
      <w:pPr>
        <w:pStyle w:val="Compact"/>
        <w:numPr>
          <w:ilvl w:val="0"/>
          <w:numId w:val="1001"/>
        </w:numPr>
      </w:pPr>
      <w:r>
        <w:t xml:space="preserve">[7.DESCRIPTION OF THE SERVICE] (#X3D12A6C93683F0122F5F9A8E21E7C12FC92490B)</w:t>
      </w:r>
    </w:p>
    <w:p>
      <w:pPr>
        <w:pStyle w:val="Compact"/>
        <w:numPr>
          <w:ilvl w:val="0"/>
          <w:numId w:val="1001"/>
        </w:numPr>
      </w:pPr>
      <w:r>
        <w:t xml:space="preserve">[8.Implementation of</w:t>
      </w:r>
      <w:r>
        <w:t xml:space="preserve"> </w:t>
      </w:r>
      <w:r>
        <w:t xml:space="preserve">Service] (#XC98FB6DA582D483E300ADD6A80DF6E3EB76498A)</w:t>
      </w:r>
    </w:p>
    <w:p>
      <w:pPr>
        <w:pStyle w:val="Compact"/>
        <w:numPr>
          <w:ilvl w:val="0"/>
          <w:numId w:val="1001"/>
        </w:numPr>
      </w:pPr>
      <w:r>
        <w:t xml:space="preserve">[8.1.Description of components</w:t>
      </w:r>
      <w:r>
        <w:t xml:space="preserve"> </w:t>
      </w:r>
      <w:r>
        <w:t xml:space="preserve">Techniques] (#XA61C340E3FDF14082CEF411D3A913FC4BDEEB4C)</w:t>
      </w:r>
    </w:p>
    <w:p>
      <w:pPr>
        <w:pStyle w:val="Compact"/>
        <w:numPr>
          <w:ilvl w:val="0"/>
          <w:numId w:val="1001"/>
        </w:numPr>
      </w:pPr>
      <w:r>
        <w:t xml:space="preserve">[8.1.1.Redhat service platform</w:t>
      </w:r>
      <w:r>
        <w:t xml:space="preserve"> </w:t>
      </w:r>
      <w:r>
        <w:t xml:space="preserve">OPENSHIFT] (#XF81D22ED0ABCA8EAB163C160107FA228901D82C)</w:t>
      </w:r>
    </w:p>
    <w:p>
      <w:pPr>
        <w:pStyle w:val="Compact"/>
        <w:numPr>
          <w:ilvl w:val="0"/>
          <w:numId w:val="1001"/>
        </w:numPr>
      </w:pPr>
      <w:r>
        <w:t xml:space="preserve">[8.1.2.Platform piloting software infrastructure</w:t>
      </w:r>
      <w:r>
        <w:t xml:space="preserve"> </w:t>
      </w:r>
      <w:r>
        <w:t xml:space="preserve">REDHAT OPENSHIFT] (#XF11C2E6A431AE11852FE3129245B4D0FD0747B)</w:t>
      </w:r>
    </w:p>
    <w:p>
      <w:pPr>
        <w:pStyle w:val="Compact"/>
        <w:numPr>
          <w:ilvl w:val="1"/>
          <w:numId w:val="1002"/>
        </w:numPr>
      </w:pPr>
      <w:hyperlink w:anchor="X77b1112fa2c2a53eb0cf09b416962164b77b437">
        <w:r>
          <w:rPr>
            <w:rStyle w:val="Hyperlink"/>
          </w:rPr>
          <w:t xml:space="preserve">8.1.3. Infrastructure de sauvegarde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associée</w:t>
        </w:r>
      </w:hyperlink>
    </w:p>
    <w:p>
      <w:pPr>
        <w:pStyle w:val="Compact"/>
        <w:numPr>
          <w:ilvl w:val="1"/>
          <w:numId w:val="1002"/>
        </w:numPr>
      </w:pPr>
      <w:hyperlink w:anchor="Xae1394210f1c9bee4293a93160d2d11cc70ebdd">
        <w:r>
          <w:rPr>
            <w:rStyle w:val="Hyperlink"/>
          </w:rPr>
          <w:t xml:space="preserve">8.1.4. Mise en œuvre de solutions de reprise d'activité ou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continuité d'activité</w:t>
        </w:r>
      </w:hyperlink>
    </w:p>
    <w:p>
      <w:pPr>
        <w:pStyle w:val="Compact"/>
        <w:numPr>
          <w:ilvl w:val="0"/>
          <w:numId w:val="1001"/>
        </w:numPr>
      </w:pPr>
      <w:hyperlink w:anchor="Xad2b4ae071a52a99b502c4e84cbba3f15ac78f8">
        <w:r>
          <w:rPr>
            <w:rStyle w:val="Hyperlink"/>
          </w:rPr>
          <w:t xml:space="preserve">9. Engagements et niveaux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services</w:t>
        </w:r>
      </w:hyperlink>
    </w:p>
    <w:p>
      <w:pPr>
        <w:pStyle w:val="Compact"/>
        <w:numPr>
          <w:ilvl w:val="1"/>
          <w:numId w:val="1003"/>
        </w:numPr>
      </w:pPr>
      <w:hyperlink w:anchor="X273341276df81e9f6fad2000ac84216560e59fa">
        <w:r>
          <w:rPr>
            <w:rStyle w:val="Hyperlink"/>
          </w:rPr>
          <w:t xml:space="preserve">9.1. Engagements de disponibilité de la plateforme RedHat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OpenShift</w:t>
        </w:r>
      </w:hyperlink>
    </w:p>
    <w:p>
      <w:pPr>
        <w:pStyle w:val="Compact"/>
        <w:numPr>
          <w:ilvl w:val="0"/>
          <w:numId w:val="1001"/>
        </w:numPr>
      </w:pPr>
      <w:r>
        <w:t xml:space="preserve">[10. Modèle de responsabilités partagées</w:t>
      </w:r>
      <w:r>
        <w:t xml:space="preserve"> </w:t>
      </w:r>
      <w:r>
        <w:t xml:space="preserve">Applicable] (#XA90D4E180CA2AE1D92E4E4CF00F20ACA5061EAC)</w:t>
      </w:r>
    </w:p>
    <w:p>
      <w:pPr>
        <w:pStyle w:val="Compact"/>
        <w:numPr>
          <w:ilvl w:val="0"/>
          <w:numId w:val="1001"/>
        </w:numPr>
      </w:pPr>
      <w:r>
        <w:t xml:space="preserve">[10.1.Responsibility and obligations of</w:t>
      </w:r>
      <w:r>
        <w:t xml:space="preserve"> </w:t>
      </w:r>
      <w:r>
        <w:t xml:space="preserve">Provider] (#XE5CF73850EA2189AB60F41560BF52E97D3019F9)</w:t>
      </w:r>
    </w:p>
    <w:p>
      <w:pPr>
        <w:pStyle w:val="Compact"/>
        <w:numPr>
          <w:ilvl w:val="0"/>
          <w:numId w:val="1001"/>
        </w:numPr>
      </w:pPr>
      <w:r>
        <w:t xml:space="preserve">[10.2.Limitation of responsibility for</w:t>
      </w:r>
      <w:r>
        <w:t xml:space="preserve"> </w:t>
      </w:r>
      <w:r>
        <w:t xml:space="preserve">Provider] (#x8856c8f606130116944398b244484722823c023c)</w:t>
      </w:r>
    </w:p>
    <w:p>
      <w:pPr>
        <w:pStyle w:val="Compact"/>
        <w:numPr>
          <w:ilvl w:val="0"/>
          <w:numId w:val="1001"/>
        </w:numPr>
      </w:pPr>
      <w:r>
        <w:t xml:space="preserve">[10.3.Limitation</w:t>
      </w:r>
      <w:r>
        <w:t xml:space="preserve"> </w:t>
      </w:r>
      <w:r>
        <w:t xml:space="preserve">access] (#x902763258f1242326933ce46892d3f549e73e30)</w:t>
      </w:r>
    </w:p>
    <w:p>
      <w:pPr>
        <w:pStyle w:val="Compact"/>
        <w:numPr>
          <w:ilvl w:val="0"/>
          <w:numId w:val="1001"/>
        </w:numPr>
      </w:pPr>
      <w:r>
        <w:t xml:space="preserve">[11.Erasure of data at the end of</w:t>
      </w:r>
      <w:r>
        <w:t xml:space="preserve"> </w:t>
      </w:r>
      <w:r>
        <w:t xml:space="preserve">contract] (#xbe642A80027ce4AD8888C932E98B8661C2A0D3A6)</w:t>
      </w:r>
    </w:p>
    <w:p>
      <w:pPr>
        <w:pStyle w:val="Compact"/>
        <w:numPr>
          <w:ilvl w:val="0"/>
          <w:numId w:val="1001"/>
        </w:numPr>
      </w:pPr>
      <w:r>
        <w:t xml:space="preserve">[12.Applicable law] (#XA219184D62EB90DFEEC612801FD05C5D816C331)</w:t>
      </w:r>
    </w:p>
    <w:bookmarkStart w:id="20" w:name="framework"/>
    <w:p>
      <w:pPr>
        <w:pStyle w:val="Heading2"/>
      </w:pPr>
      <w:r>
        <w:t xml:space="preserve">1. Framework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Reference CT.AM.JUR.Anx.paas 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 January 21, 2025</w:t>
            </w:r>
          </w:p>
        </w:tc>
      </w:tr>
    </w:tbl>
    <w:bookmarkEnd w:id="20"/>
    <w:bookmarkStart w:id="21" w:name="acronyms"/>
    <w:p>
      <w:pPr>
        <w:pStyle w:val="Heading2"/>
      </w:pPr>
      <w:r>
        <w:t xml:space="preserve">2. Acronyms</w:t>
      </w:r>
    </w:p>
    <w:tbl>
      <w:tblPr>
        <w:tblStyle w:val="Table"/>
        <w:tblW w:type="pct" w:w="4722"/>
        <w:tblLayout w:type="fixed"/>
        <w:tblLook w:firstRow="1" w:lastRow="0" w:firstColumn="0" w:lastColumn="0" w:noHBand="0" w:noVBand="0" w:val="0020"/>
      </w:tblPr>
      <w:tblGrid>
        <w:gridCol w:w="74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Acronym 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CAB Change Advisory Board - Advisory Committee on Changes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CMDB Configuration Management Database - Management database</w:t>
            </w:r>
            <w:r>
              <w:t xml:space="preserve"> </w:t>
            </w:r>
            <w:r>
              <w:t xml:space="preserve">configurations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Copil Steering Committee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Costrat Strategic Committee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DB Database (database)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DRP Disaster Recovery Plan (Activity recovery plan)</w:t>
            </w:r>
            <w:r>
              <w:t xml:space="preserve"> </w:t>
            </w:r>
            <w:r>
              <w:t xml:space="preserve">GTI Garantie de Temps d’Intervention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GTR Garantie de Temps de Résolution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GTE Garantie de Temps d’Escalade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HYPERVISEUR Système d'exploitation permettant l'execution de VM sur une</w:t>
            </w:r>
            <w:r>
              <w:t xml:space="preserve"> </w:t>
            </w:r>
            <w:r>
              <w:t xml:space="preserve">lame de calcul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ITIL Information Technology Infrastructure Library - Bonnes pratiques</w:t>
            </w:r>
            <w:r>
              <w:t xml:space="preserve"> </w:t>
            </w:r>
            <w:r>
              <w:t xml:space="preserve">pour la gestion des systèmes d'information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IAAS Infrastructure as a 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MCO Maintien en condition opérationnelle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MOA Maitrise d’Ouvrage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MOE Maitrise d’Œuvre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 Operating 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PAQ Plan d’Assurance Qualité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PAAS Platform as a 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SDM Service Delivery Manager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RFC Request For Change – Demande de changement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RGPD Règlement Général de Protection des Données (personnelles)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RPO Recovery Point Objective – Fraicheur des données restaurées en</w:t>
            </w:r>
            <w:r>
              <w:t xml:space="preserve"> </w:t>
            </w:r>
            <w:r>
              <w:t xml:space="preserve">cas de sinistre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RTO Recovery Time Objective - Deadline for the reinstatement of the service</w:t>
            </w:r>
            <w:r>
              <w:t xml:space="preserve"> </w:t>
            </w:r>
            <w:r>
              <w:t xml:space="preserve">disaster case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SLA Service Level Agreement - Service level agreement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UO Unit of work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VABF Validation of aptitude for proper functioning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VAB validation of aptitude for good exploitability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VM Virtual Machine (Virtual Machine)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VSR Validation of regular 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SNC SecnumCloud</w:t>
            </w:r>
          </w:p>
        </w:tc>
      </w:tr>
    </w:tbl>
    <w:bookmarkEnd w:id="21"/>
    <w:bookmarkStart w:id="22" w:name="glossary"/>
    <w:p>
      <w:pPr>
        <w:pStyle w:val="Heading2"/>
      </w:pPr>
      <w:r>
        <w:t xml:space="preserve">3. Glossary</w:t>
      </w:r>
    </w:p>
    <w:p>
      <w:pPr>
        <w:pStyle w:val="FirstParagraph"/>
      </w:pPr>
      <w:r>
        <w:t xml:space="preserve">The following expressions used in this document will be</w:t>
      </w:r>
      <w:r>
        <w:t xml:space="preserve"> </w:t>
      </w:r>
      <w:r>
        <w:t xml:space="preserve">interpreted in accordance with the definitions assigned to them</w:t>
      </w:r>
      <w:r>
        <w:t xml:space="preserve"> </w:t>
      </w:r>
      <w:r>
        <w:t xml:space="preserve">below 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Expression 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“Secure Temple " designates the Iaas qualified SecnumCloud service, proposed by</w:t>
            </w:r>
            <w:r>
              <w:t xml:space="preserve"> </w:t>
            </w:r>
            <w:r>
              <w:t xml:space="preserve">Cloud Temple, as defined in the certificate</w:t>
            </w:r>
            <w:r>
              <w:t xml:space="preserve"> </w:t>
            </w:r>
            <w:r>
              <w:t xml:space="preserve">available on the ANSSI website and provided in the appendix to</w:t>
            </w:r>
            <w:r>
              <w:t xml:space="preserve"> </w:t>
            </w:r>
            <w:r>
              <w:t xml:space="preserve">This service agreement.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a  “region " in the context of cloud computing designates</w:t>
            </w:r>
            <w:r>
              <w:t xml:space="preserve"> </w:t>
            </w:r>
            <w:r>
              <w:t xml:space="preserve">a geographically delimited set of zones of</w:t>
            </w:r>
            <w:r>
              <w:t xml:space="preserve"> </w:t>
            </w:r>
            <w:r>
              <w:t xml:space="preserve">Cloud availability, providing network services,</w:t>
            </w:r>
            <w:r>
              <w:t xml:space="preserve"> </w:t>
            </w:r>
            <w:r>
              <w:t xml:space="preserve">calculation and storage to optimize latency,</w:t>
            </w:r>
            <w:r>
              <w:t xml:space="preserve"> </w:t>
            </w:r>
            <w:r>
              <w:t xml:space="preserve">local performance and regulatory compliance.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Zone A specific section and isolated from the infrastructure of</w:t>
            </w:r>
            <w:r>
              <w:t xml:space="preserve"> </w:t>
            </w:r>
            <w:r>
              <w:t xml:space="preserve">Availability (AZ) (Availability Cloud Computing, designed to ensure high availability</w:t>
            </w:r>
            <w:r>
              <w:t xml:space="preserve"> </w:t>
            </w:r>
            <w:r>
              <w:t xml:space="preserve">zone) and the resilience of services by distribution</w:t>
            </w:r>
            <w:r>
              <w:t xml:space="preserve"> </w:t>
            </w:r>
            <w:r>
              <w:t xml:space="preserve">geographic resources.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Holding an isolated instance reserved for a user or group</w:t>
            </w:r>
            <w:r>
              <w:t xml:space="preserve"> </w:t>
            </w:r>
            <w:r>
              <w:t xml:space="preserve">users, sharing a common infrastructure everything</w:t>
            </w:r>
            <w:r>
              <w:t xml:space="preserve"> </w:t>
            </w:r>
            <w:r>
              <w:t xml:space="preserve">by maintaining independence and data security and</w:t>
            </w:r>
            <w:r>
              <w:t xml:space="preserve"> </w:t>
            </w:r>
            <w:r>
              <w:t xml:space="preserve">applications.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Expression 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Incident an  “incident " designates any unforeseen event which</w:t>
            </w:r>
            <w:r>
              <w:t xml:space="preserve"> </w:t>
            </w:r>
            <w:r>
              <w:t xml:space="preserve">disrupts the normal functioning of a system or</w:t>
            </w:r>
            <w:r>
              <w:t xml:space="preserve"> </w:t>
            </w:r>
            <w:r>
              <w:t xml:space="preserve">compromises data security.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Problem a  “problem " is a fundamental cause of one or</w:t>
            </w:r>
            <w:r>
              <w:t xml:space="preserve"> </w:t>
            </w:r>
            <w:r>
              <w:t xml:space="preserve">several incidents, identified or suspected, requiring</w:t>
            </w:r>
            <w:r>
              <w:t xml:space="preserve"> </w:t>
            </w:r>
            <w:r>
              <w:t xml:space="preserve">An analysis and resolution to prevent its recurrence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Change a  “change " means any addition, a modification or</w:t>
            </w:r>
            <w:r>
              <w:t xml:space="preserve"> </w:t>
            </w:r>
            <w:r>
              <w:t xml:space="preserve">deletion impacting the service, having been authorized,</w:t>
            </w:r>
            <w:r>
              <w:t xml:space="preserve"> </w:t>
            </w:r>
            <w:r>
              <w:t xml:space="preserve">planned or supported.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Change a  “standard change " is a change making</w:t>
            </w:r>
            <w:r>
              <w:t xml:space="preserve"> </w:t>
            </w:r>
            <w:r>
              <w:t xml:space="preserve">standard the subject of a procedure, including the terms of implementation</w:t>
            </w:r>
            <w:r>
              <w:t xml:space="preserve"> </w:t>
            </w:r>
            <w:r>
              <w:t xml:space="preserve">production and impacts (including financial) are</w:t>
            </w:r>
            <w:r>
              <w:t xml:space="preserve"> </w:t>
            </w:r>
            <w:r>
              <w:t xml:space="preserve">known and accepted in advance by the parties.He is</w:t>
            </w:r>
            <w:r>
              <w:t xml:space="preserve"> </w:t>
            </w:r>
            <w:r>
              <w:t xml:space="preserve">then integrated into the catalog of standard changes, and</w:t>
            </w:r>
            <w:r>
              <w:t xml:space="preserve"> </w:t>
            </w:r>
            <w:r>
              <w:t xml:space="preserve">Depending on the case have a GTI and a GTR.</w:t>
            </w:r>
            <w:r>
              <w:t xml:space="preserve"> </w:t>
            </w:r>
            <w:r>
              <w:t xml:space="preserve">Action (s) of the realization of change</w:t>
            </w:r>
            <w:r>
              <w:t xml:space="preserve"> </w:t>
            </w:r>
            <w:r>
              <w:t xml:space="preserve">production when it is approved (the change, in the sense of ITIL,</w:t>
            </w:r>
            <w:r>
              <w:t xml:space="preserve"> </w:t>
            </w:r>
            <w:r>
              <w:t xml:space="preserve">only concerning change management and not its</w:t>
            </w:r>
            <w:r>
              <w:t xml:space="preserve"> </w:t>
            </w:r>
            <w:r>
              <w:t xml:space="preserve">realization/concretization).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Request for a request for development subject to a procedure, of which</w:t>
            </w:r>
            <w:r>
              <w:t xml:space="preserve"> </w:t>
            </w:r>
            <w:r>
              <w:t xml:space="preserve">service realization: i) does not modify the CMDB, ii) the mode</w:t>
            </w:r>
            <w:r>
              <w:t xml:space="preserve"> </w:t>
            </w:r>
            <w:r>
              <w:t xml:space="preserve">operative, costs and risks are known and</w:t>
            </w:r>
            <w:r>
              <w:t xml:space="preserve"> </w:t>
            </w:r>
            <w:r>
              <w:t xml:space="preserve">accepted in advance and do not require</w:t>
            </w:r>
            <w:r>
              <w:t xml:space="preserve"> </w:t>
            </w:r>
            <w:r>
              <w:t xml:space="preserve">specific rear return III) The realization is</w:t>
            </w:r>
            <w:r>
              <w:t xml:space="preserve"> </w:t>
            </w:r>
            <w:r>
              <w:t xml:space="preserve">subject to a service level agreement and included in</w:t>
            </w:r>
            <w:r>
              <w:t xml:space="preserve"> </w:t>
            </w:r>
            <w:r>
              <w:t xml:space="preserve">the contract fee when being carried out in</w:t>
            </w:r>
            <w:r>
              <w:t xml:space="preserve"> </w:t>
            </w:r>
            <w:r>
              <w:t xml:space="preserve">working hours and working days.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Element of an  “configuration element " is a component</w:t>
            </w:r>
            <w:r>
              <w:t xml:space="preserve"> </w:t>
            </w:r>
            <w:r>
              <w:t xml:space="preserve">identifiable configuration of the information system, such as a</w:t>
            </w:r>
            <w:r>
              <w:t xml:space="preserve"> </w:t>
            </w:r>
            <w:r>
              <w:t xml:space="preserve">logiciel, un matériel ou un document, sujet à gestion</w:t>
            </w:r>
            <w:r>
              <w:t xml:space="preserve"> </w:t>
            </w:r>
            <w:r>
              <w:t xml:space="preserve">dans le cadre de la gestion des services 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 Un "service" désigne le service qualifié SecNumCloud,</w:t>
            </w:r>
            <w:r>
              <w:t xml:space="preserve"> </w:t>
            </w:r>
            <w:r>
              <w:t xml:space="preserve">délivré au COMMANDITAIRE par le Prestataire, tel que</w:t>
            </w:r>
            <w:r>
              <w:t xml:space="preserve"> </w:t>
            </w:r>
            <w:r>
              <w:t xml:space="preserve">décrit dans la section « Description du Service » de la</w:t>
            </w:r>
            <w:r>
              <w:t xml:space="preserve"> </w:t>
            </w:r>
            <w:r>
              <w:t xml:space="preserve">présente Convention de service.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Evenement Un "événement" est toute occurrence détectable ou</w:t>
            </w:r>
            <w:r>
              <w:t xml:space="preserve"> </w:t>
            </w:r>
            <w:r>
              <w:t xml:space="preserve">identifiable that may have an important to management</w:t>
            </w:r>
            <w:r>
              <w:t xml:space="preserve"> </w:t>
            </w:r>
            <w:r>
              <w:t xml:space="preserve">service.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Sinister a</w:t>
            </w:r>
            <w:r>
              <w:t xml:space="preserve"> </w:t>
            </w:r>
            <w:r>
              <w:t xml:space="preserve">“disaster”</w:t>
            </w:r>
            <w:r>
              <w:t xml:space="preserve"> </w:t>
            </w:r>
            <w:r>
              <w:t xml:space="preserve">designates a serious event of origin</w:t>
            </w:r>
            <w:r>
              <w:t xml:space="preserve"> </w:t>
            </w:r>
            <w:r>
              <w:t xml:space="preserve">natural or human, accidental or intentional,</w:t>
            </w:r>
            <w:r>
              <w:t xml:space="preserve"> </w:t>
            </w:r>
            <w:r>
              <w:t xml:space="preserve">causing significant losses and damage to the</w:t>
            </w:r>
            <w:r>
              <w:t xml:space="preserve"> </w:t>
            </w:r>
            <w:r>
              <w:t xml:space="preserve">Disaster.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Agreement of this document, established within the framework of a contract</w:t>
            </w:r>
            <w:r>
              <w:t xml:space="preserve"> </w:t>
            </w:r>
            <w:r>
              <w:t xml:space="preserve">specific service or general conditions of sale and</w:t>
            </w:r>
            <w:r>
              <w:t xml:space="preserve"> </w:t>
            </w:r>
            <w:r>
              <w:t xml:space="preserve">of use (CGVU), in accordance with</w:t>
            </w:r>
            <w:r>
              <w:t xml:space="preserve"> </w:t>
            </w:r>
            <w:r>
              <w:t xml:space="preserve">Requirements of the SECNUMCLOUD SEP.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Availability capacity to ensure the availability and maintenance of</w:t>
            </w:r>
            <w:r>
              <w:t xml:space="preserve"> </w:t>
            </w:r>
            <w:r>
              <w:t xml:space="preserve">optimal performance of a service, in accordance with</w:t>
            </w:r>
            <w:r>
              <w:t xml:space="preserve"> </w:t>
            </w:r>
            <w:r>
              <w:t xml:space="preserve">criteria and commitments defined in the</w:t>
            </w:r>
            <w:r>
              <w:t xml:space="preserve"> </w:t>
            </w:r>
            <w:r>
              <w:t xml:space="preserve">Service level (SLA)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Supervision surveillance of an information system or a</w:t>
            </w:r>
            <w:r>
              <w:t xml:space="preserve"> </w:t>
            </w:r>
            <w:r>
              <w:t xml:space="preserve">Service, impliquant la collecte de diverses données</w:t>
            </w:r>
            <w:r>
              <w:t xml:space="preserve"> </w:t>
            </w:r>
            <w:r>
              <w:t xml:space="preserve">telles que mesures et alarmes. Cette activité se limite à</w:t>
            </w:r>
            <w:r>
              <w:t xml:space="preserve"> </w:t>
            </w:r>
            <w:r>
              <w:t xml:space="preserve">l'observation et au suivi, sans intervenir directement</w:t>
            </w:r>
            <w:r>
              <w:t xml:space="preserve"> </w:t>
            </w:r>
            <w:r>
              <w:t xml:space="preserve">sur les éléments surveillés, une prérogative qui</w:t>
            </w:r>
            <w:r>
              <w:t xml:space="preserve"> </w:t>
            </w:r>
            <w:r>
              <w:t xml:space="preserve">appartient aux opérations d'Administration.</w:t>
            </w:r>
          </w:p>
        </w:tc>
      </w:tr>
    </w:tbl>
    <w:bookmarkEnd w:id="22"/>
    <w:bookmarkStart w:id="23" w:name="X80f64950811ef5d5befad1928ba7a8159355afd"/>
    <w:p>
      <w:pPr>
        <w:pStyle w:val="Heading2"/>
      </w:pPr>
      <w:r>
        <w:t xml:space="preserve">4. Objet de la convention de service PaaS du Prestataire</w:t>
      </w:r>
    </w:p>
    <w:p>
      <w:pPr>
        <w:pStyle w:val="FirstParagraph"/>
      </w:pPr>
      <w:r>
        <w:t xml:space="preserve">This service agreement establishes the terms and conditions</w:t>
      </w:r>
      <w:r>
        <w:t xml:space="preserve"> </w:t>
      </w:r>
      <w:r>
        <w:t xml:space="preserve">according to which the service provider undertakes to issue to the sponsor a</w:t>
      </w:r>
      <w:r>
        <w:t xml:space="preserve"> </w:t>
      </w:r>
      <w:r>
        <w:t xml:space="preserve">infrastructure in accordance with the specifications of the offer “Platform as a</w:t>
      </w:r>
      <w:r>
        <w:t xml:space="preserve"> </w:t>
      </w:r>
      <w:r>
        <w:t xml:space="preserve">Service - Paas ”, duly qualified SecnumCloud.</w:t>
      </w:r>
    </w:p>
    <w:p>
      <w:pPr>
        <w:pStyle w:val="BodyText"/>
      </w:pPr>
      <w:r>
        <w:t xml:space="preserve">Purpose of the service agreement:</w:t>
      </w:r>
    </w:p>
    <w:p>
      <w:pPr>
        <w:pStyle w:val="Compact"/>
        <w:numPr>
          <w:ilvl w:val="0"/>
          <w:numId w:val="1004"/>
        </w:numPr>
      </w:pPr>
      <w:r>
        <w:t xml:space="preserve">Specify the performance requirements expected by the sponsor</w:t>
      </w:r>
      <w:r>
        <w:t xml:space="preserve"> </w:t>
      </w:r>
      <w:r>
        <w:t xml:space="preserve">in terms of functionality and reliability of the infrastructure.</w:t>
      </w:r>
    </w:p>
    <w:p>
      <w:pPr>
        <w:pStyle w:val="Compact"/>
        <w:numPr>
          <w:ilvl w:val="0"/>
          <w:numId w:val="1004"/>
        </w:numPr>
      </w:pPr>
      <w:r>
        <w:t xml:space="preserve">Énoncer les obligations du Prestataire afin de satisfaire aux</w:t>
      </w:r>
      <w:r>
        <w:t xml:space="preserve"> </w:t>
      </w:r>
      <w:r>
        <w:t xml:space="preserve">niveaux de service convenus.</w:t>
      </w:r>
    </w:p>
    <w:p>
      <w:pPr>
        <w:pStyle w:val="Compact"/>
        <w:numPr>
          <w:ilvl w:val="0"/>
          <w:numId w:val="1004"/>
        </w:numPr>
      </w:pPr>
      <w:r>
        <w:t xml:space="preserve">Identifier les normes réglementaires applicables spécifiquement à</w:t>
      </w:r>
      <w:r>
        <w:t xml:space="preserve"> </w:t>
      </w:r>
      <w:r>
        <w:t xml:space="preserve">l'infrastructure proposée.</w:t>
      </w:r>
    </w:p>
    <w:p>
      <w:pPr>
        <w:pStyle w:val="Compact"/>
        <w:numPr>
          <w:ilvl w:val="0"/>
          <w:numId w:val="1004"/>
        </w:numPr>
      </w:pPr>
      <w:r>
        <w:t xml:space="preserve">Assurer une uniformité et une intégrité dans l'évaluation de la</w:t>
      </w:r>
      <w:r>
        <w:t xml:space="preserve"> </w:t>
      </w:r>
      <w:r>
        <w:t xml:space="preserve">qualité des services rendus.</w:t>
      </w:r>
    </w:p>
    <w:p>
      <w:pPr>
        <w:pStyle w:val="Compact"/>
        <w:numPr>
          <w:ilvl w:val="0"/>
          <w:numId w:val="1004"/>
        </w:numPr>
      </w:pPr>
      <w:r>
        <w:t xml:space="preserve">Garantir l'excellence des services fournis, évaluée au moyen</w:t>
      </w:r>
      <w:r>
        <w:t xml:space="preserve"> </w:t>
      </w:r>
      <w:r>
        <w:t xml:space="preserve">d'indicateurs de performance quantitatifs.</w:t>
      </w:r>
    </w:p>
    <w:p>
      <w:pPr>
        <w:pStyle w:val="FirstParagraph"/>
      </w:pPr>
      <w:r>
        <w:t xml:space="preserve">Il est stipulé que, dans l'hypothèse où le Prestataire se verrait</w:t>
      </w:r>
      <w:r>
        <w:t xml:space="preserve"> </w:t>
      </w:r>
      <w:r>
        <w:t xml:space="preserve">withdraw its secnumcloud qualification, this contract may be</w:t>
      </w:r>
      <w:r>
        <w:t xml:space="preserve"> </w:t>
      </w:r>
      <w:r>
        <w:t xml:space="preserve">automatically terminated, without incurring penalties, by the</w:t>
      </w:r>
      <w:r>
        <w:t xml:space="preserve"> </w:t>
      </w:r>
      <w:r>
        <w:t xml:space="preserve">Sponsor.In such a possibility, the service provider engages in</w:t>
      </w:r>
      <w:r>
        <w:t xml:space="preserve"> </w:t>
      </w:r>
      <w:r>
        <w:t xml:space="preserve">inform the sponsor of this dequalification by sending a</w:t>
      </w:r>
      <w:r>
        <w:t xml:space="preserve"> </w:t>
      </w:r>
      <w:r>
        <w:t xml:space="preserve">official notification, by means of a registered letter with request</w:t>
      </w:r>
      <w:r>
        <w:t xml:space="preserve"> </w:t>
      </w:r>
      <w:r>
        <w:t xml:space="preserve">of receipt.</w:t>
      </w:r>
    </w:p>
    <w:p>
      <w:pPr>
        <w:pStyle w:val="BodyText"/>
      </w:pPr>
      <w:r>
        <w:t xml:space="preserve">It should be noted that a modification or adjustment of the</w:t>
      </w:r>
      <w:r>
        <w:t xml:space="preserve"> </w:t>
      </w:r>
      <w:r>
        <w:t xml:space="preserve">qualification secnumcloud will not be interpreted as a revocation of</w:t>
      </w:r>
      <w:r>
        <w:t xml:space="preserve"> </w:t>
      </w:r>
      <w:r>
        <w:t xml:space="preserve">initial qualification.</w:t>
      </w:r>
    </w:p>
    <w:bookmarkEnd w:id="23"/>
    <w:bookmarkStart w:id="24" w:name="evolution-of-the-paas-service-agreement"/>
    <w:p>
      <w:pPr>
        <w:pStyle w:val="Heading2"/>
      </w:pPr>
      <w:r>
        <w:t xml:space="preserve">5. Evolution of the PaaS service agreement</w:t>
      </w:r>
    </w:p>
    <w:p>
      <w:pPr>
        <w:pStyle w:val="FirstParagraph"/>
      </w:pPr>
      <w:r>
        <w:t xml:space="preserve">Changes or additions to this service agreement</w:t>
      </w:r>
      <w:r>
        <w:t xml:space="preserve"> </w:t>
      </w:r>
      <w:r>
        <w:t xml:space="preserve">result exclusively from requests formulated by the organs of</w:t>
      </w:r>
      <w:r>
        <w:t xml:space="preserve"> </w:t>
      </w:r>
      <w:r>
        <w:t xml:space="preserve">governance designated for this purpose.These change proposals will be</w:t>
      </w:r>
      <w:r>
        <w:t xml:space="preserve"> </w:t>
      </w:r>
      <w:r>
        <w:t xml:space="preserve">examined within the strategic committee, the only body empowered to</w:t>
      </w:r>
      <w:r>
        <w:t xml:space="preserve"> </w:t>
      </w:r>
      <w:r>
        <w:t xml:space="preserve">Determine the aspects requiring written formalization.</w:t>
      </w:r>
    </w:p>
    <w:p>
      <w:pPr>
        <w:pStyle w:val="BodyText"/>
      </w:pPr>
      <w:r>
        <w:t xml:space="preserve">It is agreed that any evolution of the agreement, after validation,</w:t>
      </w:r>
      <w:r>
        <w:t xml:space="preserve"> </w:t>
      </w:r>
      <w:r>
        <w:t xml:space="preserve">which alters the initially established financial conditions, will require</w:t>
      </w:r>
      <w:r>
        <w:t xml:space="preserve"> </w:t>
      </w:r>
      <w:r>
        <w:t xml:space="preserve">the establishment and the signature of an amendment to the current contract.</w:t>
      </w:r>
    </w:p>
    <w:p>
      <w:pPr>
        <w:pStyle w:val="BodyText"/>
      </w:pPr>
      <w:r>
        <w:t xml:space="preserve">The factors that may induce a revision of this agreement include,</w:t>
      </w:r>
      <w:r>
        <w:t xml:space="preserve"> </w:t>
      </w:r>
      <w:r>
        <w:t xml:space="preserve">without limiting:</w:t>
      </w:r>
    </w:p>
    <w:p>
      <w:pPr>
        <w:pStyle w:val="Compact"/>
        <w:numPr>
          <w:ilvl w:val="0"/>
          <w:numId w:val="1005"/>
        </w:numPr>
      </w:pPr>
      <w:r>
        <w:t xml:space="preserve">Adaptation of the PaaS platform orchestrated by the provider.</w:t>
      </w:r>
    </w:p>
    <w:p>
      <w:pPr>
        <w:pStyle w:val="Compact"/>
        <w:numPr>
          <w:ilvl w:val="0"/>
          <w:numId w:val="1005"/>
        </w:numPr>
      </w:pPr>
      <w:r>
        <w:t xml:space="preserve">The adjustments made to the services deployed by the service provider.</w:t>
      </w:r>
    </w:p>
    <w:p>
      <w:pPr>
        <w:pStyle w:val="Compact"/>
        <w:numPr>
          <w:ilvl w:val="0"/>
          <w:numId w:val="1005"/>
        </w:numPr>
      </w:pPr>
      <w:r>
        <w:t xml:space="preserve">Variations in commitments made and applicable sanctions.</w:t>
      </w:r>
    </w:p>
    <w:p>
      <w:pPr>
        <w:pStyle w:val="Compact"/>
        <w:numPr>
          <w:ilvl w:val="0"/>
          <w:numId w:val="1005"/>
        </w:numPr>
      </w:pPr>
      <w:r>
        <w:t xml:space="preserve">organizational reconfigurations within the sponsor or</w:t>
      </w:r>
      <w:r>
        <w:t xml:space="preserve"> </w:t>
      </w:r>
      <w:r>
        <w:t xml:space="preserve">Provider.</w:t>
      </w:r>
    </w:p>
    <w:p>
      <w:pPr>
        <w:pStyle w:val="Compact"/>
        <w:numPr>
          <w:ilvl w:val="0"/>
          <w:numId w:val="1005"/>
        </w:numPr>
      </w:pPr>
      <w:r>
        <w:t xml:space="preserve">expansion or reduction in the field of application of services</w:t>
      </w:r>
      <w:r>
        <w:t xml:space="preserve"> </w:t>
      </w:r>
      <w:r>
        <w:t xml:space="preserve">to whom the sponsor has subscribed.</w:t>
      </w:r>
    </w:p>
    <w:p>
      <w:pPr>
        <w:pStyle w:val="FirstParagraph"/>
      </w:pPr>
      <w:r>
        <w:t xml:space="preserve">The management of versions and revisions of the agreement is recorded</w:t>
      </w:r>
      <w:r>
        <w:t xml:space="preserve"> </w:t>
      </w:r>
      <w:r>
        <w:t xml:space="preserve">In the preamble to the document to facilitate monitoring.</w:t>
      </w:r>
    </w:p>
    <w:bookmarkEnd w:id="24"/>
    <w:bookmarkStart w:id="25" w:name="audit"/>
    <w:p>
      <w:pPr>
        <w:pStyle w:val="Heading2"/>
      </w:pPr>
      <w:r>
        <w:t xml:space="preserve">6. Audit</w:t>
      </w:r>
    </w:p>
    <w:p>
      <w:pPr>
        <w:pStyle w:val="FirstParagraph"/>
      </w:pPr>
      <w:r>
        <w:t xml:space="preserve">The service provider undertakes to allow the sponsor, or to everything</w:t>
      </w:r>
      <w:r>
        <w:t xml:space="preserve"> </w:t>
      </w:r>
      <w:r>
        <w:t xml:space="preserve">third -party listener that the latter would have appointed, to consult the ensemble</w:t>
      </w:r>
      <w:r>
        <w:t xml:space="preserve"> </w:t>
      </w:r>
      <w:r>
        <w:t xml:space="preserve">documents necessary for the certificate of full compliance with</w:t>
      </w:r>
      <w:r>
        <w:t xml:space="preserve"> </w:t>
      </w:r>
      <w:r>
        <w:t xml:space="preserve">Obligations related to compliance with the provisions of Article 28</w:t>
      </w:r>
      <w:r>
        <w:t xml:space="preserve"> </w:t>
      </w:r>
      <w:r>
        <w:t xml:space="preserve">the General Data Protection Regulations (GDPR), facilitating</w:t>
      </w:r>
      <w:r>
        <w:t xml:space="preserve"> </w:t>
      </w:r>
      <w:r>
        <w:t xml:space="preserve">Thus the realization of audits.</w:t>
      </w:r>
    </w:p>
    <w:p>
      <w:pPr>
        <w:pStyle w:val="BodyText"/>
      </w:pPr>
      <w:r>
        <w:t xml:space="preserve">** The provider undertakes in particular to make available to the</w:t>
      </w:r>
      <w:r>
        <w:t xml:space="preserve"> </w:t>
      </w:r>
      <w:r>
        <w:t xml:space="preserve">Sponsor the list of all third parties who can access the</w:t>
      </w:r>
      <w:r>
        <w:t xml:space="preserve"> </w:t>
      </w:r>
      <w:r>
        <w:t xml:space="preserve">data and inform him of any change of subcontractors. **</w:t>
      </w:r>
    </w:p>
    <w:p>
      <w:pPr>
        <w:pStyle w:val="BodyText"/>
      </w:pPr>
      <w:r>
        <w:t xml:space="preserve">By the acceptance of this service agreement, the</w:t>
      </w:r>
      <w:r>
        <w:t xml:space="preserve"> </w:t>
      </w:r>
      <w:r>
        <w:t xml:space="preserve">Sponsor gives his explicit authorization to:</w:t>
      </w:r>
    </w:p>
    <w:p>
      <w:pPr>
        <w:pStyle w:val="Compact"/>
        <w:numPr>
          <w:ilvl w:val="0"/>
          <w:numId w:val="1006"/>
        </w:numPr>
      </w:pPr>
      <w:r>
        <w:t xml:space="preserve">** The National Agency for Information Systems Systems</w:t>
      </w:r>
      <w:r>
        <w:t xml:space="preserve"> </w:t>
      </w:r>
      <w:r>
        <w:t xml:space="preserve">(ANSSI) ** as well as the competent qualification entity for</w:t>
      </w:r>
      <w:r>
        <w:t xml:space="preserve"> </w:t>
      </w:r>
      <w:r>
        <w:t xml:space="preserve">undertake the verification of the conformity of the service and its</w:t>
      </w:r>
      <w:r>
        <w:t xml:space="preserve"> </w:t>
      </w:r>
      <w:r>
        <w:t xml:space="preserve">Information system to standards defined by the repository</w:t>
      </w:r>
      <w:r>
        <w:t xml:space="preserve"> </w:t>
      </w:r>
      <w:r>
        <w:t xml:space="preserve">SecnumCloud.</w:t>
      </w:r>
    </w:p>
    <w:p>
      <w:pPr>
        <w:pStyle w:val="Compact"/>
        <w:numPr>
          <w:ilvl w:val="0"/>
          <w:numId w:val="1006"/>
        </w:numPr>
      </w:pPr>
      <w:r>
        <w:t xml:space="preserve">** An audit provider in information systems safety **,</w:t>
      </w:r>
      <w:r>
        <w:t xml:space="preserve"> </w:t>
      </w:r>
      <w:r>
        <w:t xml:space="preserve">duly qualified and expressly designated by the service provider, for</w:t>
      </w:r>
      <w:r>
        <w:t xml:space="preserve"> </w:t>
      </w:r>
      <w:r>
        <w:t xml:space="preserve">carry out security audits relating to the service issued</w:t>
      </w:r>
      <w:r>
        <w:t xml:space="preserve"> </w:t>
      </w:r>
      <w:r>
        <w:t xml:space="preserve">by the provider.</w:t>
      </w:r>
    </w:p>
    <w:bookmarkEnd w:id="25"/>
    <w:bookmarkStart w:id="26" w:name="service-description"/>
    <w:p>
      <w:pPr>
        <w:pStyle w:val="Heading2"/>
      </w:pPr>
      <w:r>
        <w:t xml:space="preserve">7. Service description</w:t>
      </w:r>
    </w:p>
    <w:p>
      <w:pPr>
        <w:pStyle w:val="FirstParagraph"/>
      </w:pPr>
      <w:r>
        <w:t xml:space="preserve">The service offer offered by the service provider is characterized by the</w:t>
      </w:r>
      <w:r>
        <w:t xml:space="preserve"> </w:t>
      </w:r>
      <w:r>
        <w:t xml:space="preserve">provision of the following services, which are aligned with</w:t>
      </w:r>
      <w:r>
        <w:t xml:space="preserve"> </w:t>
      </w:r>
      <w:r>
        <w:t xml:space="preserve">The principle of detailed shared responsibility in established standards</w:t>
      </w:r>
      <w:r>
        <w:t xml:space="preserve"> </w:t>
      </w:r>
      <w:r>
        <w:t xml:space="preserve">by the SecnumCloud repository:</w:t>
      </w:r>
    </w:p>
    <w:p>
      <w:pPr>
        <w:pStyle w:val="Compact"/>
        <w:numPr>
          <w:ilvl w:val="0"/>
          <w:numId w:val="1007"/>
        </w:numPr>
      </w:pPr>
      <w:r>
        <w:t xml:space="preserve">The provision of a Redhat container management platform</w:t>
      </w:r>
      <w:r>
        <w:t xml:space="preserve"> </w:t>
      </w:r>
      <w:r>
        <w:t xml:space="preserve">OpenShift piloted by the service provider.</w:t>
      </w:r>
      <w:r>
        <w:t xml:space="preserve"> </w:t>
      </w:r>
      <w:r>
        <w:t xml:space="preserve">It is understood that the service provider will mobilize his expertise to achieve</w:t>
      </w:r>
      <w:r>
        <w:t xml:space="preserve"> </w:t>
      </w:r>
      <w:r>
        <w:t xml:space="preserve">benefits according to best professional practices,</w:t>
      </w:r>
      <w:r>
        <w:t xml:space="preserve"> </w:t>
      </w:r>
      <w:r>
        <w:t xml:space="preserve">in accordance with their specifications and respecting the standards of its</w:t>
      </w:r>
      <w:r>
        <w:t xml:space="preserve"> </w:t>
      </w:r>
      <w:r>
        <w:t xml:space="preserve">ISO/IEC 27001 certification as well as standard guidelines</w:t>
      </w:r>
      <w:r>
        <w:t xml:space="preserve"> </w:t>
      </w:r>
      <w:r>
        <w:t xml:space="preserve">SecnumCloud.</w:t>
      </w:r>
    </w:p>
    <w:bookmarkEnd w:id="26"/>
    <w:bookmarkStart w:id="31" w:name="implementation-of-the-service"/>
    <w:p>
      <w:pPr>
        <w:pStyle w:val="Heading2"/>
      </w:pPr>
      <w:r>
        <w:t xml:space="preserve">8. Implementation of the service</w:t>
      </w:r>
    </w:p>
    <w:p>
      <w:pPr>
        <w:pStyle w:val="FirstParagraph"/>
      </w:pPr>
      <w:r>
        <w:t xml:space="preserve">It is specified that all operations and components</w:t>
      </w:r>
      <w:r>
        <w:t xml:space="preserve"> </w:t>
      </w:r>
      <w:r>
        <w:t xml:space="preserve">physical involved in the provision of qualified service, including</w:t>
      </w:r>
      <w:r>
        <w:t xml:space="preserve"> </w:t>
      </w:r>
      <w:r>
        <w:t xml:space="preserve">This agreement is the subject of, are located in the European Union.</w:t>
      </w:r>
      <w:r>
        <w:t xml:space="preserve"> </w:t>
      </w:r>
      <w:r>
        <w:t xml:space="preserve">This includes support, operational supervision and</w:t>
      </w:r>
      <w:r>
        <w:t xml:space="preserve"> </w:t>
      </w:r>
      <w:r>
        <w:t xml:space="preserve">Safety supervision (SOC).</w:t>
      </w:r>
    </w:p>
    <w:bookmarkStart w:id="27" w:name="description-of-technical-components"/>
    <w:p>
      <w:pPr>
        <w:pStyle w:val="Heading3"/>
      </w:pPr>
      <w:r>
        <w:t xml:space="preserve">8.1.Description of technical components</w:t>
      </w:r>
    </w:p>
    <w:p>
      <w:pPr>
        <w:pStyle w:val="FirstParagraph"/>
      </w:pPr>
      <w:r>
        <w:t xml:space="preserve">PAAS (Platform as a service) service encompasses the entirety of</w:t>
      </w:r>
      <w:r>
        <w:t xml:space="preserve"> </w:t>
      </w:r>
      <w:r>
        <w:t xml:space="preserve">components and services required for optimal operation in the</w:t>
      </w:r>
      <w:r>
        <w:t xml:space="preserve"> </w:t>
      </w:r>
      <w:r>
        <w:t xml:space="preserve">Respect for the secnumcloud qualification.</w:t>
      </w:r>
    </w:p>
    <w:p>
      <w:pPr>
        <w:pStyle w:val="BodyText"/>
      </w:pPr>
      <w:r>
        <w:t xml:space="preserve">In this regard, their performance and reliability are intrinsically linked</w:t>
      </w:r>
      <w:r>
        <w:t xml:space="preserve"> </w:t>
      </w:r>
      <w:r>
        <w:t xml:space="preserve">Technical components and services of ** Iaas ** infrastructure</w:t>
      </w:r>
      <w:r>
        <w:t xml:space="preserve"> </w:t>
      </w:r>
      <w:r>
        <w:t xml:space="preserve">of the service provider, as specified in the document [Service agreement</w:t>
      </w:r>
      <w:r>
        <w:t xml:space="preserve"> </w:t>
      </w:r>
      <w:r>
        <w:t xml:space="preserve">Iaas] (../ working%20in%20Progress%20-%20NOT%20use/IAAS/SLA_IAAS.MD)</w:t>
      </w:r>
      <w:r>
        <w:t xml:space="preserve"> </w:t>
      </w:r>
      <w:r>
        <w:t xml:space="preserve">Provider.</w:t>
      </w:r>
    </w:p>
    <w:bookmarkEnd w:id="27"/>
    <w:bookmarkStart w:id="28" w:name="redhat-openshift-redhat-service-platform"/>
    <w:p>
      <w:pPr>
        <w:pStyle w:val="Heading3"/>
      </w:pPr>
      <w:r>
        <w:t xml:space="preserve">8.1.1.Redhat Openshift Redhat Service Platform</w:t>
      </w:r>
    </w:p>
    <w:p>
      <w:pPr>
        <w:pStyle w:val="FirstParagraph"/>
      </w:pPr>
      <w:r>
        <w:t xml:space="preserve">The service includes the provision within a region, out of 3</w:t>
      </w:r>
      <w:r>
        <w:t xml:space="preserve"> </w:t>
      </w:r>
      <w:r>
        <w:t xml:space="preserve">availability zones,</w:t>
      </w:r>
    </w:p>
    <w:bookmarkEnd w:id="28"/>
    <w:bookmarkStart w:id="29" w:name="X5eb2cf23fc6c8180a68e1f21f8dca24a35cf1d0"/>
    <w:p>
      <w:pPr>
        <w:pStyle w:val="Heading3"/>
      </w:pPr>
      <w:r>
        <w:t xml:space="preserve">8.1.2.Redenshift Redhat Platform Infrastructure</w:t>
      </w:r>
    </w:p>
    <w:p>
      <w:pPr>
        <w:pStyle w:val="FirstParagraph"/>
      </w:pPr>
      <w:r>
        <w:t xml:space="preserve">Le Prestataire fournit au COMMANDITAIRE la console d'administration et</w:t>
      </w:r>
      <w:r>
        <w:t xml:space="preserve"> </w:t>
      </w:r>
      <w:r>
        <w:t xml:space="preserve">l'API nécessaire à l'exploitation de ses environnements PaaS RedHat</w:t>
      </w:r>
      <w:r>
        <w:t xml:space="preserve"> </w:t>
      </w:r>
      <w:r>
        <w:t xml:space="preserve">OpenShift. Il s'engage également à les maintenir en condition</w:t>
      </w:r>
      <w:r>
        <w:t xml:space="preserve"> </w:t>
      </w:r>
      <w:r>
        <w:t xml:space="preserve">opérationnelle optimale et à assurer sa sécurité de manière continue.</w:t>
      </w:r>
    </w:p>
    <w:p>
      <w:pPr>
        <w:pStyle w:val="BodyText"/>
      </w:pPr>
      <w:r>
        <w:t xml:space="preserve">Dans le cadre spécifique du service fourni, le Prestataire met à la</w:t>
      </w:r>
      <w:r>
        <w:t xml:space="preserve"> </w:t>
      </w:r>
      <w:r>
        <w:t xml:space="preserve">disposition du COMMANDITAIRE toutes les interfaces et API de la</w:t>
      </w:r>
      <w:r>
        <w:t xml:space="preserve"> </w:t>
      </w:r>
      <w:r>
        <w:t xml:space="preserve">plateforme RedHat OpenShift au sein du tenant sélectionné. Il revient au</w:t>
      </w:r>
      <w:r>
        <w:t xml:space="preserve"> </w:t>
      </w:r>
      <w:r>
        <w:t xml:space="preserve">COMMANDITAIRE d'instaurer les dispositifs de sécurité appropriés, tels</w:t>
      </w:r>
      <w:r>
        <w:t xml:space="preserve"> </w:t>
      </w:r>
      <w:r>
        <w:t xml:space="preserve">que les pare-feux (firewall), les pare-feux applicatifs Web (WAF), et</w:t>
      </w:r>
      <w:r>
        <w:t xml:space="preserve"> </w:t>
      </w:r>
      <w:r>
        <w:t xml:space="preserve">autres mesures de protection, ainsi que de définir les règles de</w:t>
      </w:r>
      <w:r>
        <w:t xml:space="preserve"> </w:t>
      </w:r>
      <w:r>
        <w:t xml:space="preserve">filtrage associées pour sécuriser l'accès à sa plateforme conformément</w:t>
      </w:r>
      <w:r>
        <w:t xml:space="preserve"> </w:t>
      </w:r>
      <w:r>
        <w:t xml:space="preserve">à sa politique de sécurité.</w:t>
      </w:r>
    </w:p>
    <w:p>
      <w:pPr>
        <w:pStyle w:val="BodyText"/>
      </w:pPr>
      <w:r>
        <w:t xml:space="preserve">Le Prestataire alerte le COMMANDITAIRE sur le fait qu'une utilisation</w:t>
      </w:r>
      <w:r>
        <w:t xml:space="preserve"> </w:t>
      </w:r>
      <w:r>
        <w:t xml:space="preserve">anormale de sa console d'administration, notamment en cas de surcharge</w:t>
      </w:r>
      <w:r>
        <w:t xml:space="preserve"> </w:t>
      </w:r>
      <w:r>
        <w:t xml:space="preserve">of his command apis (Hammering), can trigger measures of</w:t>
      </w:r>
      <w:r>
        <w:t xml:space="preserve"> </w:t>
      </w:r>
      <w:r>
        <w:t xml:space="preserve">automatic safety resulting in blocking access to the APIs of</w:t>
      </w:r>
      <w:r>
        <w:t xml:space="preserve"> </w:t>
      </w:r>
      <w:r>
        <w:t xml:space="preserve">order or certain services of the service provider.It is advisable to underline</w:t>
      </w:r>
      <w:r>
        <w:t xml:space="preserve"> </w:t>
      </w:r>
      <w:r>
        <w:t xml:space="preserve">that this situation does not constitute unavailability of the service but</w:t>
      </w:r>
      <w:r>
        <w:t xml:space="preserve"> </w:t>
      </w:r>
      <w:r>
        <w:t xml:space="preserve">a protection action for the provider’s infrastructure;by</w:t>
      </w:r>
      <w:r>
        <w:t xml:space="preserve"> </w:t>
      </w:r>
      <w:r>
        <w:t xml:space="preserve">consequently, the sponsor cannot consider it as a</w:t>
      </w:r>
      <w:r>
        <w:t xml:space="preserve"> </w:t>
      </w:r>
      <w:r>
        <w:t xml:space="preserve">unavailability in its calculations.</w:t>
      </w:r>
      <w:r>
        <w:t xml:space="preserve"> </w:t>
      </w:r>
      <w:r>
        <w:t xml:space="preserve">In addition, the service provider specifies to the sponsor that requests</w:t>
      </w:r>
      <w:r>
        <w:t xml:space="preserve"> </w:t>
      </w:r>
      <w:r>
        <w:t xml:space="preserve">perfectly identical (duplicates) sent to its APIS are limited to</w:t>
      </w:r>
      <w:r>
        <w:t xml:space="preserve"> </w:t>
      </w:r>
      <w:r>
        <w:t xml:space="preserve">One per second (Throttling).If the sponsor submits requests</w:t>
      </w:r>
      <w:r>
        <w:t xml:space="preserve"> </w:t>
      </w:r>
      <w:r>
        <w:t xml:space="preserve">identical to a higher frequency, their rejection should not be</w:t>
      </w:r>
      <w:r>
        <w:t xml:space="preserve"> </w:t>
      </w:r>
      <w:r>
        <w:t xml:space="preserve">interpreted as unavailability of the service.</w:t>
      </w:r>
    </w:p>
    <w:bookmarkEnd w:id="29"/>
    <w:bookmarkStart w:id="30" w:name="associated-backup-infrastructure"/>
    <w:p>
      <w:pPr>
        <w:pStyle w:val="Heading3"/>
      </w:pPr>
      <w:r>
        <w:t xml:space="preserve">8.1.3.Associated backup infrastructure</w:t>
      </w:r>
    </w:p>
    <w:p>
      <w:pPr>
        <w:pStyle w:val="FirstParagraph"/>
      </w:pPr>
      <w:r>
        <w:t xml:space="preserve">The service provider provides the sponsor with a</w:t>
      </w:r>
      <w:r>
        <w:t xml:space="preserve"> </w:t>
      </w:r>
      <w:r>
        <w:t xml:space="preserve">integrated, dedicated and managed backup, intended for the protection of</w:t>
      </w:r>
      <w:r>
        <w:t xml:space="preserve"> </w:t>
      </w:r>
      <w:r>
        <w:t xml:space="preserve">data from its Redhat OpenShift environments.The service provider provides</w:t>
      </w:r>
      <w:r>
        <w:t xml:space="preserve"> </w:t>
      </w:r>
      <w:r>
        <w:t xml:space="preserve">maintenance in operational condition and safety condition of</w:t>
      </w:r>
      <w:r>
        <w:t xml:space="preserve"> </w:t>
      </w:r>
      <w:r>
        <w:t xml:space="preserve">This integrated backup platform.Regardless of the number of</w:t>
      </w:r>
      <w:r>
        <w:t xml:space="preserve"> </w:t>
      </w:r>
      <w:r>
        <w:t xml:space="preserve">availability zones subscribed by the sponsor, the service provider</w:t>
      </w:r>
      <w:r>
        <w:t xml:space="preserve"> </w:t>
      </w:r>
      <w:r>
        <w:t xml:space="preserve">ensures that the sponsor’s backup platform will be located in</w:t>
      </w:r>
      <w:r>
        <w:t xml:space="preserve"> </w:t>
      </w:r>
      <w:r>
        <w:t xml:space="preserve">Outside the availability area of ​​safeguarded workloads.</w:t>
      </w:r>
      <w:r>
        <w:t xml:space="preserve"> </w:t>
      </w:r>
      <w:r>
        <w:t xml:space="preserve">The backup service is limited to saving machines</w:t>
      </w:r>
      <w:r>
        <w:t xml:space="preserve"> </w:t>
      </w:r>
      <w:r>
        <w:t xml:space="preserve">virtuals and topology configurations of the IAAS environment</w:t>
      </w:r>
      <w:r>
        <w:t xml:space="preserve"> </w:t>
      </w:r>
      <w:r>
        <w:t xml:space="preserve">SECNUMCLOUD supporters of the sponsor.Development and</w:t>
      </w:r>
      <w:r>
        <w:t xml:space="preserve"> </w:t>
      </w:r>
      <w:r>
        <w:t xml:space="preserve">the application of an adequate backup policy by the</w:t>
      </w:r>
      <w:r>
        <w:t xml:space="preserve"> </w:t>
      </w:r>
      <w:r>
        <w:t xml:space="preserve">Sponsor depend on the subscription to work units</w:t>
      </w:r>
      <w:r>
        <w:t xml:space="preserve"> </w:t>
      </w:r>
      <w:r>
        <w:t xml:space="preserve">specific.It is therefore the responsibility of the sponsor to ensure the</w:t>
      </w:r>
      <w:r>
        <w:t xml:space="preserve"> </w:t>
      </w:r>
      <w:r>
        <w:t xml:space="preserve">availability of the necessary technical resources with the</w:t>
      </w:r>
      <w:r>
        <w:t xml:space="preserve"> </w:t>
      </w:r>
      <w:r>
        <w:t xml:space="preserve">Provider to implement their safeguard policy or</w:t>
      </w:r>
      <w:r>
        <w:t xml:space="preserve"> </w:t>
      </w:r>
      <w:r>
        <w:t xml:space="preserve">to adjust the latter according to the means available.</w:t>
      </w:r>
    </w:p>
    <w:p>
      <w:pPr>
        <w:pStyle w:val="BodyText"/>
      </w:pPr>
      <w:r>
        <w:t xml:space="preserve">The service provider undertakes to notify the sponsor in the event of</w:t>
      </w:r>
      <w:r>
        <w:t xml:space="preserve"> </w:t>
      </w:r>
      <w:r>
        <w:t xml:space="preserve">capacity constraints and to provide advice assistance for</w:t>
      </w:r>
      <w:r>
        <w:t xml:space="preserve"> </w:t>
      </w:r>
      <w:r>
        <w:t xml:space="preserve">the optimization of resources.The provider’s obligations are</w:t>
      </w:r>
      <w:r>
        <w:t xml:space="preserve"> </w:t>
      </w:r>
      <w:r>
        <w:t xml:space="preserve">will limit to the implementation of the needs expressed by the sponsor</w:t>
      </w:r>
      <w:r>
        <w:t xml:space="preserve"> </w:t>
      </w:r>
      <w:r>
        <w:t xml:space="preserve">in terms of safeguard policy, within the framework of resources</w:t>
      </w:r>
      <w:r>
        <w:t xml:space="preserve"> </w:t>
      </w:r>
      <w:r>
        <w:t xml:space="preserve">subscribed.</w:t>
      </w:r>
      <w:r>
        <w:t xml:space="preserve"> </w:t>
      </w:r>
      <w:r>
        <w:t xml:space="preserve">### 8.1.4.Implementation of resumption of activity or activity continuity</w:t>
      </w:r>
    </w:p>
    <w:p>
      <w:pPr>
        <w:pStyle w:val="BodyText"/>
      </w:pPr>
      <w:r>
        <w:t xml:space="preserve">The service provider provides the sponsor with the set of solutions</w:t>
      </w:r>
      <w:r>
        <w:t xml:space="preserve"> </w:t>
      </w:r>
      <w:r>
        <w:t xml:space="preserve">techniques necessary to guarantee an optimal distribution of its</w:t>
      </w:r>
      <w:r>
        <w:t xml:space="preserve"> </w:t>
      </w:r>
      <w:r>
        <w:t xml:space="preserve">resources through various availability areas.It is the responsibility of</w:t>
      </w:r>
      <w:r>
        <w:t xml:space="preserve"> </w:t>
      </w:r>
      <w:r>
        <w:t xml:space="preserve">Sponsor the responsibility to effectively manage this distribution</w:t>
      </w:r>
      <w:r>
        <w:t xml:space="preserve"> </w:t>
      </w:r>
      <w:r>
        <w:t xml:space="preserve">of resources, for which he has the possibility to exploit the tools</w:t>
      </w:r>
      <w:r>
        <w:t xml:space="preserve"> </w:t>
      </w:r>
      <w:r>
        <w:t xml:space="preserve">of the provider available for this use.</w:t>
      </w:r>
      <w:r>
        <w:t xml:space="preserve"> </w:t>
      </w:r>
      <w:r>
        <w:t xml:space="preserve">In particular, applications deployed on the Redhat platform</w:t>
      </w:r>
      <w:r>
        <w:t xml:space="preserve"> </w:t>
      </w:r>
      <w:r>
        <w:t xml:space="preserve">OpenShift must take care of the redundancy mechanisms</w:t>
      </w:r>
      <w:r>
        <w:t xml:space="preserve"> </w:t>
      </w:r>
      <w:r>
        <w:t xml:space="preserve">proposed by the service provider in order to be able to benefit from the solutions of</w:t>
      </w:r>
      <w:r>
        <w:t xml:space="preserve"> </w:t>
      </w:r>
      <w:r>
        <w:t xml:space="preserve">Resumption of activity or associated activity continuity.</w:t>
      </w:r>
    </w:p>
    <w:bookmarkEnd w:id="30"/>
    <w:bookmarkEnd w:id="31"/>
    <w:bookmarkStart w:id="33" w:name="commitments-and-service-levels"/>
    <w:p>
      <w:pPr>
        <w:pStyle w:val="Heading2"/>
      </w:pPr>
      <w:r>
        <w:t xml:space="preserve">9. Commitments and service levels</w:t>
      </w:r>
    </w:p>
    <w:p>
      <w:pPr>
        <w:pStyle w:val="FirstParagraph"/>
      </w:pPr>
      <w:r>
        <w:t xml:space="preserve">The service provider undertakes to guarantee continuous monitoring of the</w:t>
      </w:r>
      <w:r>
        <w:t xml:space="preserve"> </w:t>
      </w:r>
      <w:r>
        <w:t xml:space="preserve">performance and the security integrity of its platforms and</w:t>
      </w:r>
      <w:r>
        <w:t xml:space="preserve"> </w:t>
      </w:r>
      <w:r>
        <w:t xml:space="preserve">services, ensuring their optimal operation.</w:t>
      </w:r>
      <w:r>
        <w:t xml:space="preserve"> </w:t>
      </w:r>
      <w:r>
        <w:t xml:space="preserve">The unavailability of a service, being subject to an indicator of</w:t>
      </w:r>
      <w:r>
        <w:t xml:space="preserve"> </w:t>
      </w:r>
      <w:r>
        <w:t xml:space="preserve">performance, is recognized as soon as it is identified by the system of</w:t>
      </w:r>
      <w:r>
        <w:t xml:space="preserve"> </w:t>
      </w:r>
      <w:r>
        <w:t xml:space="preserve">supervision of the service provider, or following a notification by a</w:t>
      </w:r>
      <w:r>
        <w:t xml:space="preserve"> </w:t>
      </w:r>
      <w:r>
        <w:t xml:space="preserve">sponsor user.The beginning of unavailability is fixed at</w:t>
      </w:r>
      <w:r>
        <w:t xml:space="preserve"> </w:t>
      </w:r>
      <w:r>
        <w:t xml:space="preserve">the earliest moment between these two events, in order to guarantee a</w:t>
      </w:r>
      <w:r>
        <w:t xml:space="preserve"> </w:t>
      </w:r>
      <w:r>
        <w:t xml:space="preserve">precise count and just unavailability time.</w:t>
      </w:r>
    </w:p>
    <w:p>
      <w:pPr>
        <w:pStyle w:val="BodyText"/>
      </w:pPr>
      <w:r>
        <w:t xml:space="preserve">The end of unavailability is officially marked by the</w:t>
      </w:r>
      <w:r>
        <w:t xml:space="preserve"> </w:t>
      </w:r>
      <w:r>
        <w:t xml:space="preserve">full restoration of the service, confirmed either by the tools of</w:t>
      </w:r>
      <w:r>
        <w:t xml:space="preserve"> </w:t>
      </w:r>
      <w:r>
        <w:t xml:space="preserve">supervision of the service provider, either by user return, ensuring</w:t>
      </w:r>
      <w:r>
        <w:t xml:space="preserve"> </w:t>
      </w:r>
      <w:r>
        <w:t xml:space="preserve">thus an effective recovery of operations and a faithful measure of the</w:t>
      </w:r>
      <w:r>
        <w:t xml:space="preserve"> </w:t>
      </w:r>
      <w:r>
        <w:t xml:space="preserve">duration of interruption.</w:t>
      </w:r>
    </w:p>
    <w:bookmarkStart w:id="32" w:name="Xb6d7d5239d6bc07a095342c89aef7f5a3c18c2f"/>
    <w:p>
      <w:pPr>
        <w:pStyle w:val="Heading3"/>
      </w:pPr>
      <w:r>
        <w:t xml:space="preserve">9.1.Availability commitments of the Redhat Openshift platform</w:t>
      </w:r>
    </w:p>
    <w:p>
      <w:pPr>
        <w:pStyle w:val="FirstParagraph"/>
      </w:pPr>
      <w:r>
        <w:t xml:space="preserve">The service provider undertakes to maintain a level of availability and</w:t>
      </w:r>
      <w:r>
        <w:t xml:space="preserve"> </w:t>
      </w:r>
      <w:r>
        <w:t xml:space="preserve">performance in accordance with the standards defined for each period</w:t>
      </w:r>
      <w:r>
        <w:t xml:space="preserve"> </w:t>
      </w:r>
      <w:r>
        <w:t xml:space="preserve">specified.Service level commitments (Level Service</w:t>
      </w:r>
      <w:r>
        <w:t xml:space="preserve"> </w:t>
      </w:r>
      <w:r>
        <w:t xml:space="preserve">Agreements, SLAS) apply provided that the sponsor</w:t>
      </w:r>
      <w:r>
        <w:t xml:space="preserve"> </w:t>
      </w:r>
      <w:r>
        <w:t xml:space="preserve">implements its systems through at least two of the areas of</w:t>
      </w:r>
      <w:r>
        <w:t xml:space="preserve"> </w:t>
      </w:r>
      <w:r>
        <w:t xml:space="preserve">availability present in the region concerned.</w:t>
      </w:r>
    </w:p>
    <w:p>
      <w:pPr>
        <w:pStyle w:val="BodyText"/>
      </w:pPr>
      <w:r>
        <w:t xml:space="preserve">In the absence of compliance with these conditions by the sponsor,</w:t>
      </w:r>
      <w:r>
        <w:t xml:space="preserve"> </w:t>
      </w:r>
      <w:r>
        <w:t xml:space="preserve">He will be inability to claim the application of</w:t>
      </w:r>
      <w:r>
        <w:t xml:space="preserve"> </w:t>
      </w:r>
      <w:r>
        <w:t xml:space="preserve">SLAS concerned, which are specifically identified by a</w:t>
      </w:r>
      <w:r>
        <w:t xml:space="preserve"> </w:t>
      </w:r>
      <w:r>
        <w:t xml:space="preserve">Asterisk (*).Accessibility to SLAS is done via the interface</w:t>
      </w:r>
      <w:r>
        <w:t xml:space="preserve"> </w:t>
      </w:r>
      <w:r>
        <w:t xml:space="preserve">Sponsor.** The measures hear calculated monthly **:</w:t>
      </w:r>
    </w:p>
    <w:p>
      <w:pPr>
        <w:pStyle w:val="BodyText"/>
      </w:pPr>
      <w:r>
        <w:t xml:space="preserve">-**SLA 1 (*): IC-PAAS_SNC-01 **-Availability of the platform</w:t>
      </w:r>
      <w:r>
        <w:t xml:space="preserve"> </w:t>
      </w:r>
      <w:r>
        <w:t xml:space="preserve">Redhat Openshift: guaranteed availability rate of 99.9%, calculated on</w:t>
      </w:r>
      <w:r>
        <w:t xml:space="preserve"> </w:t>
      </w:r>
      <w:r>
        <w:t xml:space="preserve">A 24 -hour base, 7 days a week.</w:t>
      </w:r>
    </w:p>
    <w:p>
      <w:pPr>
        <w:pStyle w:val="BodyText"/>
      </w:pPr>
      <w:r>
        <w:rPr>
          <w:b/>
          <w:bCs/>
          <w:i/>
          <w:iCs/>
        </w:rPr>
        <w:t xml:space="preserve">Remarks</w:t>
      </w:r>
      <w:r>
        <w:t xml:space="preserve"> </w:t>
      </w:r>
      <w:r>
        <w:t xml:space="preserve">:</w:t>
      </w:r>
    </w:p>
    <w:p>
      <w:pPr>
        <w:numPr>
          <w:ilvl w:val="0"/>
          <w:numId w:val="1008"/>
        </w:numPr>
      </w:pPr>
      <w:r>
        <w:rPr>
          <w:i/>
          <w:iCs/>
        </w:rPr>
        <w:t xml:space="preserve">In response an attack by denial of distributed service (DDOS), the</w:t>
      </w:r>
      <w:r>
        <w:rPr>
          <w:i/>
          <w:iCs/>
        </w:rPr>
        <w:t xml:space="preserve"> </w:t>
      </w:r>
      <w:r>
        <w:rPr>
          <w:i/>
          <w:iCs/>
        </w:rPr>
        <w:t xml:space="preserve">Provider reserves the right to adjust its routing configuration</w:t>
      </w:r>
      <w:r>
        <w:rPr>
          <w:i/>
          <w:iCs/>
        </w:rPr>
        <w:t xml:space="preserve"> </w:t>
      </w:r>
      <w:r>
        <w:rPr>
          <w:i/>
          <w:iCs/>
        </w:rPr>
        <w:t xml:space="preserve">Internet to limit the impact of this attack and save its</w:t>
      </w:r>
      <w:r>
        <w:rPr>
          <w:i/>
          <w:iCs/>
        </w:rPr>
        <w:t xml:space="preserve"> </w:t>
      </w:r>
      <w:r>
        <w:rPr>
          <w:i/>
          <w:iCs/>
        </w:rPr>
        <w:t xml:space="preserve">infrastructure.In particular, if an IP address belonging to</w:t>
      </w:r>
      <w:r>
        <w:rPr>
          <w:i/>
          <w:iCs/>
        </w:rPr>
        <w:t xml:space="preserve"> </w:t>
      </w:r>
      <w:r>
        <w:rPr>
          <w:i/>
          <w:iCs/>
        </w:rPr>
        <w:t xml:space="preserve">Sponsor is targeted, the service provider can use the technique</w:t>
      </w:r>
      <w:r>
        <w:rPr>
          <w:i/>
          <w:iCs/>
        </w:rPr>
        <w:t xml:space="preserve"> </w:t>
      </w:r>
      <w:r>
        <w:rPr>
          <w:i/>
          <w:iCs/>
        </w:rPr>
        <w:t xml:space="preserve">of Blackholing via the BGP community to block all traffic to</w:t>
      </w:r>
      <w:r>
        <w:rPr>
          <w:i/>
          <w:iCs/>
        </w:rPr>
        <w:t xml:space="preserve"> </w:t>
      </w:r>
      <w:r>
        <w:rPr>
          <w:i/>
          <w:iCs/>
        </w:rPr>
        <w:t xml:space="preserve">the IP address referred to upstream to its suppliers, in order to</w:t>
      </w:r>
      <w:r>
        <w:rPr>
          <w:i/>
          <w:iCs/>
        </w:rPr>
        <w:t xml:space="preserve"> </w:t>
      </w:r>
      <w:r>
        <w:rPr>
          <w:i/>
          <w:iCs/>
        </w:rPr>
        <w:t xml:space="preserve">protect the resources of the sponsor as well as those of others</w:t>
      </w:r>
      <w:r>
        <w:rPr>
          <w:i/>
          <w:iCs/>
        </w:rPr>
        <w:t xml:space="preserve"> </w:t>
      </w:r>
      <w:r>
        <w:rPr>
          <w:i/>
          <w:iCs/>
        </w:rPr>
        <w:t xml:space="preserve">Sponsors and infrastructure of the service provider.The provider</w:t>
      </w:r>
      <w:r>
        <w:rPr>
          <w:i/>
          <w:iCs/>
        </w:rPr>
        <w:t xml:space="preserve"> </w:t>
      </w:r>
      <w:r>
        <w:rPr>
          <w:i/>
          <w:iCs/>
        </w:rPr>
        <w:t xml:space="preserve">strongly encourages the sponsor to adopt similar measures,</w:t>
      </w:r>
      <w:r>
        <w:rPr>
          <w:i/>
          <w:iCs/>
        </w:rPr>
        <w:t xml:space="preserve"> </w:t>
      </w:r>
      <w:r>
        <w:rPr>
          <w:i/>
          <w:iCs/>
        </w:rPr>
        <w:t xml:space="preserve">such as using web applications firewall software</w:t>
      </w:r>
      <w:r>
        <w:rPr>
          <w:i/>
          <w:iCs/>
        </w:rPr>
        <w:t xml:space="preserve"> </w:t>
      </w:r>
      <w:r>
        <w:rPr>
          <w:i/>
          <w:iCs/>
        </w:rPr>
        <w:t xml:space="preserve">available on the market, and to carefully configure its groups</w:t>
      </w:r>
      <w:r>
        <w:rPr>
          <w:i/>
          <w:iCs/>
        </w:rPr>
        <w:t xml:space="preserve"> </w:t>
      </w:r>
      <w:r>
        <w:rPr>
          <w:i/>
          <w:iCs/>
        </w:rPr>
        <w:t xml:space="preserve">security via the control api.</w:t>
      </w:r>
    </w:p>
    <w:p>
      <w:pPr>
        <w:numPr>
          <w:ilvl w:val="0"/>
          <w:numId w:val="1008"/>
        </w:numPr>
      </w:pPr>
      <w:r>
        <w:rPr>
          <w:i/>
          <w:iCs/>
        </w:rPr>
        <w:t xml:space="preserve">The service provider insists on the need for the sponsor of</w:t>
      </w:r>
      <w:r>
        <w:rPr>
          <w:i/>
          <w:iCs/>
        </w:rPr>
        <w:t xml:space="preserve"> </w:t>
      </w:r>
      <w:r>
        <w:rPr>
          <w:i/>
          <w:iCs/>
        </w:rPr>
        <w:t xml:space="preserve">minimize flow openings, notably avoiding making</w:t>
      </w:r>
      <w:r>
        <w:rPr>
          <w:i/>
          <w:iCs/>
        </w:rPr>
        <w:t xml:space="preserve"> </w:t>
      </w:r>
      <w:r>
        <w:rPr>
          <w:i/>
          <w:iCs/>
        </w:rPr>
        <w:t xml:space="preserve">Accessible the administration ports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SSH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(Port TCP 22) and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RDP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(TCP port 3389) from the Internet set (Sub-network</w:t>
      </w:r>
      <w:r>
        <w:rPr>
          <w:i/>
          <w:iCs/>
        </w:rPr>
        <w:t xml:space="preserve"> </w:t>
      </w:r>
      <w:r>
        <w:rPr>
          <w:i/>
          <w:iCs/>
        </w:rPr>
        <w:t xml:space="preserve">0.0.0.0/0), as well as internal protocols such as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SMB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(port</w:t>
      </w:r>
      <w:r>
        <w:rPr>
          <w:i/>
          <w:iCs/>
        </w:rPr>
        <w:t xml:space="preserve"> </w:t>
      </w:r>
      <w:r>
        <w:rPr>
          <w:i/>
          <w:iCs/>
        </w:rPr>
        <w:t xml:space="preserve">TCP/UDP 445) or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NFS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(TCP/UDP 2049 port).</w:t>
      </w:r>
    </w:p>
    <w:bookmarkEnd w:id="32"/>
    <w:bookmarkEnd w:id="33"/>
    <w:bookmarkStart w:id="37" w:name="applicable-shared-responsibility-model"/>
    <w:p>
      <w:pPr>
        <w:pStyle w:val="Heading2"/>
      </w:pPr>
      <w:r>
        <w:t xml:space="preserve">10. Applicable shared responsibility model</w:t>
      </w:r>
    </w:p>
    <w:bookmarkStart w:id="34" w:name="providers-responsibility-and-obligations"/>
    <w:p>
      <w:pPr>
        <w:pStyle w:val="Heading3"/>
      </w:pPr>
      <w:r>
        <w:t xml:space="preserve">10.1.Provider’s responsibility and obligations</w:t>
      </w:r>
    </w:p>
    <w:p>
      <w:pPr>
        <w:pStyle w:val="FirstParagraph"/>
      </w:pPr>
      <w:r>
        <w:t xml:space="preserve">The service provider undertakes to provide the sponsor of</w:t>
      </w:r>
      <w:r>
        <w:t xml:space="preserve"> </w:t>
      </w:r>
      <w:r>
        <w:t xml:space="preserve">user interfaces in French and English language, thus facilitating</w:t>
      </w:r>
      <w:r>
        <w:t xml:space="preserve"> </w:t>
      </w:r>
      <w:r>
        <w:t xml:space="preserve">l'accès et la gestion des services fournis. Le COMMANDITAIRE, de son</w:t>
      </w:r>
      <w:r>
        <w:t xml:space="preserve"> </w:t>
      </w:r>
      <w:r>
        <w:t xml:space="preserve">côté, s'engage à respecter les contraintes légales et réglementaires en</w:t>
      </w:r>
      <w:r>
        <w:t xml:space="preserve"> </w:t>
      </w:r>
      <w:r>
        <w:t xml:space="preserve">vigueur relatives aux données qu'il confie au Prestataire pour</w:t>
      </w:r>
      <w:r>
        <w:t xml:space="preserve"> </w:t>
      </w:r>
      <w:r>
        <w:t xml:space="preserve">traitement.</w:t>
      </w:r>
    </w:p>
    <w:p>
      <w:pPr>
        <w:pStyle w:val="BodyText"/>
      </w:pPr>
      <w:r>
        <w:t xml:space="preserve">En cas de transmission de données sujettes à des exigences légales</w:t>
      </w:r>
      <w:r>
        <w:t xml:space="preserve"> </w:t>
      </w:r>
      <w:r>
        <w:t xml:space="preserve">spécifiques, le Prestataire collaborera avec le COMMANDITAIRE pour</w:t>
      </w:r>
      <w:r>
        <w:t xml:space="preserve"> </w:t>
      </w:r>
      <w:r>
        <w:t xml:space="preserve">identifier et mettre en œuvre les mesures de sécurité nécessaires,</w:t>
      </w:r>
      <w:r>
        <w:t xml:space="preserve"> </w:t>
      </w:r>
      <w:r>
        <w:t xml:space="preserve">conformément aux obligations du Prestataire et dans le cadre de la</w:t>
      </w:r>
      <w:r>
        <w:t xml:space="preserve"> </w:t>
      </w:r>
      <w:r>
        <w:t xml:space="preserve">provision of services.</w:t>
      </w:r>
    </w:p>
    <w:p>
      <w:pPr>
        <w:pStyle w:val="BodyText"/>
      </w:pPr>
      <w:r>
        <w:t xml:space="preserve">The provider also takes the commitment to examine and take</w:t>
      </w:r>
      <w:r>
        <w:t xml:space="preserve"> </w:t>
      </w:r>
      <w:r>
        <w:t xml:space="preserve">in consideration the specific needs linked to the activity sectors</w:t>
      </w:r>
      <w:r>
        <w:t xml:space="preserve"> </w:t>
      </w:r>
      <w:r>
        <w:t xml:space="preserve">of the sponsor, respecting the limitations of his responsibility,</w:t>
      </w:r>
      <w:r>
        <w:t xml:space="preserve"> </w:t>
      </w:r>
      <w:r>
        <w:t xml:space="preserve">To guarantee a level of security adapted to the information processed.</w:t>
      </w:r>
    </w:p>
    <w:p>
      <w:pPr>
        <w:pStyle w:val="BodyText"/>
      </w:pPr>
      <w:r>
        <w:t xml:space="preserve">If a project is likely to impact the security of the service offered</w:t>
      </w:r>
      <w:r>
        <w:t xml:space="preserve"> </w:t>
      </w:r>
      <w:r>
        <w:t xml:space="preserve">or the availability of said service or to generate a loss of</w:t>
      </w:r>
      <w:r>
        <w:t xml:space="preserve"> </w:t>
      </w:r>
      <w:r>
        <w:t xml:space="preserve">functionality, the service provider undertakes to inform through the console</w:t>
      </w:r>
      <w:r>
        <w:t xml:space="preserve"> </w:t>
      </w:r>
      <w:r>
        <w:t xml:space="preserve">or by email in contact with the sponsor and within a reasonable time</w:t>
      </w:r>
      <w:r>
        <w:t xml:space="preserve"> </w:t>
      </w:r>
      <w:r>
        <w:t xml:space="preserve">the sponsor of potential impacts, corrective measures</w:t>
      </w:r>
      <w:r>
        <w:t xml:space="preserve"> </w:t>
      </w:r>
      <w:r>
        <w:t xml:space="preserve">envisaged and residual risks which concerns him, ensuring a</w:t>
      </w:r>
      <w:r>
        <w:t xml:space="preserve"> </w:t>
      </w:r>
      <w:r>
        <w:t xml:space="preserve">total transparency.</w:t>
      </w:r>
    </w:p>
    <w:p>
      <w:pPr>
        <w:pStyle w:val="BodyText"/>
      </w:pPr>
      <w:r>
        <w:t xml:space="preserve">The service provider undertakes not to use the data from the sponsor</w:t>
      </w:r>
      <w:r>
        <w:t xml:space="preserve"> </w:t>
      </w:r>
      <w:r>
        <w:t xml:space="preserve">from production to carry out tests, with the exception of</w:t>
      </w:r>
      <w:r>
        <w:t xml:space="preserve"> </w:t>
      </w:r>
      <w:r>
        <w:t xml:space="preserve">obtain the explicit authorization of the sponsor beforehand, to whom</w:t>
      </w:r>
      <w:r>
        <w:t xml:space="preserve"> </w:t>
      </w:r>
      <w:r>
        <w:t xml:space="preserve">cases the provider undertakes to anonymize this data and ensure its</w:t>
      </w:r>
      <w:r>
        <w:t xml:space="preserve"> </w:t>
      </w:r>
      <w:r>
        <w:t xml:space="preserve">confidentiality during their anonymization.</w:t>
      </w:r>
    </w:p>
    <w:p>
      <w:pPr>
        <w:pStyle w:val="BodyText"/>
      </w:pPr>
      <w:r>
        <w:t xml:space="preserve">In the event of a change of subcontractor for accommodation,</w:t>
      </w:r>
      <w:r>
        <w:t xml:space="preserve"> </w:t>
      </w:r>
      <w:r>
        <w:t xml:space="preserve">Provider will inform the sponsor upstream, assuring that this</w:t>
      </w:r>
      <w:r>
        <w:t xml:space="preserve"> </w:t>
      </w:r>
      <w:r>
        <w:t xml:space="preserve">transition does not negatively affect the service provided.</w:t>
      </w:r>
    </w:p>
    <w:p>
      <w:pPr>
        <w:pStyle w:val="BodyText"/>
      </w:pPr>
      <w:r>
        <w:t xml:space="preserve">At the request of the sponsor, the service provider will provide access to his</w:t>
      </w:r>
      <w:r>
        <w:t xml:space="preserve"> </w:t>
      </w:r>
      <w:r>
        <w:t xml:space="preserve">internal regulations, to his ethics charter, to applicable sanctions</w:t>
      </w:r>
      <w:r>
        <w:t xml:space="preserve"> </w:t>
      </w:r>
      <w:r>
        <w:t xml:space="preserve">in the event of non-compliance with its security policy, to events the</w:t>
      </w:r>
      <w:r>
        <w:t xml:space="preserve"> </w:t>
      </w:r>
      <w:r>
        <w:t xml:space="preserve">concerning, procedures relating to the service and requirements</w:t>
      </w:r>
      <w:r>
        <w:t xml:space="preserve"> </w:t>
      </w:r>
      <w:r>
        <w:t xml:space="preserve">specific security.</w:t>
      </w:r>
    </w:p>
    <w:p>
      <w:pPr>
        <w:pStyle w:val="BodyText"/>
      </w:pPr>
      <w:r>
        <w:t xml:space="preserve">The service provider undertakes to inform the sponsor of any change</w:t>
      </w:r>
      <w:r>
        <w:t xml:space="preserve"> </w:t>
      </w:r>
      <w:r>
        <w:t xml:space="preserve">to come on software elements under the responsibility of Cloud</w:t>
      </w:r>
      <w:r>
        <w:t xml:space="preserve"> </w:t>
      </w:r>
      <w:r>
        <w:t xml:space="preserve">Temple as long as complete compatibility cannot be ensured.</w:t>
      </w:r>
    </w:p>
    <w:bookmarkEnd w:id="34"/>
    <w:bookmarkStart w:id="35" w:name="providers-liability-limitation"/>
    <w:p>
      <w:pPr>
        <w:pStyle w:val="Heading3"/>
      </w:pPr>
      <w:r>
        <w:t xml:space="preserve">10.2.Provider’s liability limitation</w:t>
      </w:r>
    </w:p>
    <w:p>
      <w:pPr>
        <w:pStyle w:val="FirstParagraph"/>
      </w:pPr>
      <w:r>
        <w:t xml:space="preserve">The shared liability structure effectively reduces the extent</w:t>
      </w:r>
      <w:r>
        <w:t xml:space="preserve"> </w:t>
      </w:r>
      <w:r>
        <w:t xml:space="preserve">from the intervention of the service provider to the aspects linked to the supply</w:t>
      </w:r>
      <w:r>
        <w:t xml:space="preserve"> </w:t>
      </w:r>
      <w:r>
        <w:t xml:space="preserve">a functional redhat openshift platform, comprising:</w:t>
      </w:r>
    </w:p>
    <w:p>
      <w:pPr>
        <w:pStyle w:val="Compact"/>
        <w:numPr>
          <w:ilvl w:val="0"/>
          <w:numId w:val="1009"/>
        </w:numPr>
      </w:pPr>
      <w:r>
        <w:t xml:space="preserve">management of the IAAS infrastructure which supports the platform</w:t>
      </w:r>
      <w:r>
        <w:t xml:space="preserve"> </w:t>
      </w:r>
      <w:r>
        <w:t xml:space="preserve">Redhat Openshift and its provisioning,</w:t>
      </w:r>
    </w:p>
    <w:p>
      <w:pPr>
        <w:pStyle w:val="Compact"/>
        <w:numPr>
          <w:ilvl w:val="0"/>
          <w:numId w:val="1009"/>
        </w:numPr>
      </w:pPr>
      <w:r>
        <w:t xml:space="preserve">the management of the systems necessary for the proper functioning of the</w:t>
      </w:r>
      <w:r>
        <w:t xml:space="preserve"> </w:t>
      </w:r>
      <w:r>
        <w:t xml:space="preserve">platform,</w:t>
      </w:r>
    </w:p>
    <w:p>
      <w:pPr>
        <w:pStyle w:val="Compact"/>
        <w:numPr>
          <w:ilvl w:val="0"/>
          <w:numId w:val="1009"/>
        </w:numPr>
      </w:pPr>
      <w:r>
        <w:t xml:space="preserve">Maintaining safety conditions,</w:t>
      </w:r>
    </w:p>
    <w:p>
      <w:pPr>
        <w:pStyle w:val="Compact"/>
        <w:numPr>
          <w:ilvl w:val="0"/>
          <w:numId w:val="1009"/>
        </w:numPr>
      </w:pPr>
      <w:r>
        <w:t xml:space="preserve">Updating the Redhat OpenShift platform,</w:t>
      </w:r>
    </w:p>
    <w:p>
      <w:pPr>
        <w:pStyle w:val="Compact"/>
        <w:numPr>
          <w:ilvl w:val="0"/>
          <w:numId w:val="1009"/>
        </w:numPr>
      </w:pPr>
      <w:r>
        <w:t xml:space="preserve">the backup of the essential configuration data of this</w:t>
      </w:r>
      <w:r>
        <w:t xml:space="preserve"> </w:t>
      </w:r>
      <w:r>
        <w:t xml:space="preserve">platform, with the exception of data and applications of</w:t>
      </w:r>
      <w:r>
        <w:t xml:space="preserve"> </w:t>
      </w:r>
      <w:r>
        <w:t xml:space="preserve">Sponsor who fall under his responsibility.</w:t>
      </w:r>
    </w:p>
    <w:p>
      <w:pPr>
        <w:pStyle w:val="FirstParagraph"/>
      </w:pPr>
      <w:r>
        <w:t xml:space="preserve">She excludes in particular, but without limiting herself:</w:t>
      </w:r>
    </w:p>
    <w:p>
      <w:pPr>
        <w:pStyle w:val="Compact"/>
        <w:numPr>
          <w:ilvl w:val="0"/>
          <w:numId w:val="1010"/>
        </w:numPr>
      </w:pPr>
      <w:r>
        <w:t xml:space="preserve">Updating of operating systems and installed software</w:t>
      </w:r>
      <w:r>
        <w:t xml:space="preserve"> </w:t>
      </w:r>
      <w:r>
        <w:t xml:space="preserve">by the sponsor on its OpenShift environments in its spaces</w:t>
      </w:r>
      <w:r>
        <w:t xml:space="preserve"> </w:t>
      </w:r>
      <w:r>
        <w:t xml:space="preserve">rental,</w:t>
      </w:r>
    </w:p>
    <w:p>
      <w:pPr>
        <w:pStyle w:val="Compact"/>
        <w:numPr>
          <w:ilvl w:val="0"/>
          <w:numId w:val="1010"/>
        </w:numPr>
      </w:pPr>
      <w:r>
        <w:t xml:space="preserve">the security of programs, software and applications installed in</w:t>
      </w:r>
      <w:r>
        <w:t xml:space="preserve"> </w:t>
      </w:r>
      <w:r>
        <w:t xml:space="preserve">within the OpenShift environment by the sponsor,</w:t>
      </w:r>
    </w:p>
    <w:p>
      <w:pPr>
        <w:pStyle w:val="Compact"/>
        <w:numPr>
          <w:ilvl w:val="0"/>
          <w:numId w:val="1010"/>
        </w:numPr>
      </w:pPr>
      <w:r>
        <w:t xml:space="preserve">data backup at the application level,</w:t>
      </w:r>
    </w:p>
    <w:p>
      <w:pPr>
        <w:pStyle w:val="Compact"/>
        <w:numPr>
          <w:ilvl w:val="0"/>
          <w:numId w:val="1010"/>
        </w:numPr>
      </w:pPr>
      <w:r>
        <w:t xml:space="preserve">The configuration of safeguard policies.</w:t>
      </w:r>
    </w:p>
    <w:bookmarkEnd w:id="35"/>
    <w:bookmarkStart w:id="36" w:name="access-limitation"/>
    <w:p>
      <w:pPr>
        <w:pStyle w:val="Heading3"/>
      </w:pPr>
      <w:r>
        <w:t xml:space="preserve">10.3.Access limitation</w:t>
      </w:r>
    </w:p>
    <w:p>
      <w:pPr>
        <w:pStyle w:val="FirstParagraph"/>
      </w:pPr>
      <w:r>
        <w:t xml:space="preserve">As part of this service agreement, the service provider is</w:t>
      </w:r>
      <w:r>
        <w:t xml:space="preserve"> </w:t>
      </w:r>
      <w:r>
        <w:t xml:space="preserve">formally prohibited to access the proponents belonging to the</w:t>
      </w:r>
      <w:r>
        <w:t xml:space="preserve"> </w:t>
      </w:r>
      <w:r>
        <w:t xml:space="preserve">Sponsor without prior authorization.It is responsibility</w:t>
      </w:r>
      <w:r>
        <w:t xml:space="preserve"> </w:t>
      </w:r>
      <w:r>
        <w:t xml:space="preserve">of the sponsor to provide the necessary access to the staff of</w:t>
      </w:r>
      <w:r>
        <w:t xml:space="preserve"> </w:t>
      </w:r>
      <w:r>
        <w:t xml:space="preserve">Provider, according to the specific needs of accommodation and the case</w:t>
      </w:r>
      <w:r>
        <w:t xml:space="preserve"> </w:t>
      </w:r>
      <w:r>
        <w:t xml:space="preserve">related, professional support services, if this option has been</w:t>
      </w:r>
      <w:r>
        <w:t xml:space="preserve"> </w:t>
      </w:r>
      <w:r>
        <w:t xml:space="preserve">chosen by the sponsor.</w:t>
      </w:r>
    </w:p>
    <w:p>
      <w:pPr>
        <w:pStyle w:val="BodyText"/>
      </w:pPr>
      <w:r>
        <w:t xml:space="preserve">The sponsor acknowledges that these access is granted exclusively</w:t>
      </w:r>
      <w:r>
        <w:t xml:space="preserve"> </w:t>
      </w:r>
      <w:r>
        <w:t xml:space="preserve">for needs related to the provision of agreed services, ensuring</w:t>
      </w:r>
      <w:r>
        <w:t xml:space="preserve"> </w:t>
      </w:r>
      <w:r>
        <w:t xml:space="preserve">Thus a secure management and in accordance with the terms of the agreement.</w:t>
      </w:r>
    </w:p>
    <w:p>
      <w:pPr>
        <w:pStyle w:val="BodyText"/>
      </w:pPr>
      <w:r>
        <w:t xml:space="preserve">Distant access by third parties involved in the provision of service</w:t>
      </w:r>
      <w:r>
        <w:t xml:space="preserve"> </w:t>
      </w:r>
      <w:r>
        <w:t xml:space="preserve">of the provider is strictly prohibited.In the event that a</w:t>
      </w:r>
      <w:r>
        <w:t xml:space="preserve"> </w:t>
      </w:r>
      <w:r>
        <w:t xml:space="preserve">specific technical requirement would require such access, this</w:t>
      </w:r>
      <w:r>
        <w:t xml:space="preserve"> </w:t>
      </w:r>
      <w:r>
        <w:t xml:space="preserve">could be established that after clearly notified the</w:t>
      </w:r>
      <w:r>
        <w:t xml:space="preserve"> </w:t>
      </w:r>
      <w:r>
        <w:t xml:space="preserve">Sponsor, provided a detailed justification and obtained his agreement</w:t>
      </w:r>
      <w:r>
        <w:t xml:space="preserve"> </w:t>
      </w:r>
      <w:r>
        <w:t xml:space="preserve">writing.</w:t>
      </w:r>
    </w:p>
    <w:p>
      <w:pPr>
        <w:pStyle w:val="BodyText"/>
      </w:pPr>
      <w:r>
        <w:t xml:space="preserve">This measure guarantees the control and security of data from</w:t>
      </w:r>
      <w:r>
        <w:t xml:space="preserve"> </w:t>
      </w:r>
      <w:r>
        <w:t xml:space="preserve">Sponsor, ensuring that any exception to the rule is duly</w:t>
      </w:r>
      <w:r>
        <w:t xml:space="preserve"> </w:t>
      </w:r>
      <w:r>
        <w:t xml:space="preserve">authorized and documented.</w:t>
      </w:r>
    </w:p>
    <w:bookmarkEnd w:id="36"/>
    <w:bookmarkEnd w:id="37"/>
    <w:bookmarkStart w:id="38" w:name="erase-data-at-the-end-of-the-contract"/>
    <w:p>
      <w:pPr>
        <w:pStyle w:val="Heading2"/>
      </w:pPr>
      <w:r>
        <w:t xml:space="preserve">11. Erase data at the end of the contract</w:t>
      </w:r>
    </w:p>
    <w:p>
      <w:pPr>
        <w:pStyle w:val="FirstParagraph"/>
      </w:pPr>
      <w:r>
        <w:t xml:space="preserve">At the end of the contract, that it matters or that it is terminated</w:t>
      </w:r>
      <w:r>
        <w:t xml:space="preserve"> </w:t>
      </w:r>
      <w:r>
        <w:t xml:space="preserve">for any reason, the service provider undertakes to proceed to</w:t>
      </w:r>
      <w:r>
        <w:t xml:space="preserve"> </w:t>
      </w:r>
      <w:r>
        <w:t xml:space="preserve">The secure erasure of the entire data of the sponsor, Y</w:t>
      </w:r>
      <w:r>
        <w:t xml:space="preserve"> </w:t>
      </w:r>
      <w:r>
        <w:t xml:space="preserve">including technical data.The provider will ensure</w:t>
      </w:r>
      <w:r>
        <w:t xml:space="preserve"> </w:t>
      </w:r>
      <w:r>
        <w:t xml:space="preserve">communicate to the sponsor a formal notice, respecting a period of</w:t>
      </w:r>
      <w:r>
        <w:t xml:space="preserve"> </w:t>
      </w:r>
      <w:r>
        <w:t xml:space="preserve">Twenty -one (21) calendar days.The data of the sponsor will be</w:t>
      </w:r>
      <w:r>
        <w:t xml:space="preserve"> </w:t>
      </w:r>
      <w:r>
        <w:t xml:space="preserve">then deleted within a maximum period of thirty (30) days following</w:t>
      </w:r>
      <w:r>
        <w:t xml:space="preserve"> </w:t>
      </w:r>
      <w:r>
        <w:t xml:space="preserve">This notification.</w:t>
      </w:r>
    </w:p>
    <w:p>
      <w:pPr>
        <w:pStyle w:val="BodyText"/>
      </w:pPr>
      <w:r>
        <w:t xml:space="preserve">To attest to this deletion, the provider will give to the</w:t>
      </w:r>
      <w:r>
        <w:t xml:space="preserve"> </w:t>
      </w:r>
      <w:r>
        <w:t xml:space="preserve">Sponsor A certificate confirming the erasure of the data.</w:t>
      </w:r>
    </w:p>
    <w:bookmarkEnd w:id="38"/>
    <w:bookmarkStart w:id="39" w:name="applicable-law"/>
    <w:p>
      <w:pPr>
        <w:pStyle w:val="Heading2"/>
      </w:pPr>
      <w:r>
        <w:t xml:space="preserve">12. Applicable law</w:t>
      </w:r>
    </w:p>
    <w:p>
      <w:pPr>
        <w:pStyle w:val="FirstParagraph"/>
      </w:pPr>
      <w:r>
        <w:t xml:space="preserve">The law applicable for the present service agreement is the law</w:t>
      </w:r>
      <w:r>
        <w:t xml:space="preserve"> </w:t>
      </w:r>
      <w:r>
        <w:t xml:space="preserve">French.</w:t>
      </w:r>
    </w:p>
    <w:p>
      <w:pPr>
        <w:pStyle w:val="BodyText"/>
      </w:pPr>
      <w:r>
        <w:t xml:space="preserve">In the event of appeal by the service provider, as part of the services provided</w:t>
      </w:r>
      <w:r>
        <w:t xml:space="preserve"> </w:t>
      </w:r>
      <w:r>
        <w:t xml:space="preserve">to the sponsor, to a third-party company, including a subcontractor, of which</w:t>
      </w:r>
      <w:r>
        <w:t xml:space="preserve"> </w:t>
      </w:r>
      <w:r>
        <w:t xml:space="preserve">the head office, central administration or the main</w:t>
      </w:r>
      <w:r>
        <w:t xml:space="preserve"> </w:t>
      </w:r>
      <w:r>
        <w:t xml:space="preserve">establishment is located in a non -member of the European Union,</w:t>
      </w:r>
      <w:r>
        <w:t xml:space="preserve"> </w:t>
      </w:r>
      <w:r>
        <w:t xml:space="preserve">or who is property or under the control of a third -party company</w:t>
      </w:r>
      <w:r>
        <w:t xml:space="preserve"> </w:t>
      </w:r>
      <w:r>
        <w:t xml:space="preserve">domiciled outside the European Union, the service provider is committed to</w:t>
      </w:r>
      <w:r>
        <w:t xml:space="preserve"> </w:t>
      </w:r>
      <w:r>
        <w:t xml:space="preserve">ensure that said company third will have no access to data</w:t>
      </w:r>
      <w:r>
        <w:t xml:space="preserve"> </w:t>
      </w:r>
      <w:r>
        <w:t xml:space="preserve">processed by the service provider.</w:t>
      </w:r>
    </w:p>
    <w:p>
      <w:pPr>
        <w:pStyle w:val="BodyText"/>
      </w:pPr>
      <w:r>
        <w:t xml:space="preserve">It should be noted that the data referred to that includes those entrusted to</w:t>
      </w:r>
      <w:r>
        <w:t xml:space="preserve"> </w:t>
      </w:r>
      <w:r>
        <w:t xml:space="preserve">Provider by the sponsor, as well as all the data</w:t>
      </w:r>
      <w:r>
        <w:t xml:space="preserve"> </w:t>
      </w:r>
      <w:r>
        <w:t xml:space="preserve">techniques such as identities of beneficiaries and</w:t>
      </w:r>
      <w:r>
        <w:t xml:space="preserve"> </w:t>
      </w:r>
      <w:r>
        <w:t xml:space="preserve">Administrators of the technical infrastructure, the data manipulated</w:t>
      </w:r>
      <w:r>
        <w:t xml:space="preserve"> </w:t>
      </w:r>
      <w:r>
        <w:t xml:space="preserve">by networks, newspapers of technical infrastructure,</w:t>
      </w:r>
      <w:r>
        <w:t xml:space="preserve"> </w:t>
      </w:r>
      <w:r>
        <w:t xml:space="preserve">directory, certificates, access configuration, etc.,</w:t>
      </w:r>
      <w:r>
        <w:t xml:space="preserve"> </w:t>
      </w:r>
      <w:r>
        <w:t xml:space="preserve">containing information on the sponsor.</w:t>
      </w:r>
    </w:p>
    <w:p>
      <w:pPr>
        <w:pStyle w:val="BodyText"/>
      </w:pPr>
      <w:r>
        <w:t xml:space="preserve">For precision, the concept of control is defined in accordance with the II of</w:t>
      </w:r>
      <w:r>
        <w:t xml:space="preserve"> </w:t>
      </w:r>
      <w:r>
        <w:t xml:space="preserve">Article L233-3 of the Commercial Code.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2025-03-19T16:15:17Z</dcterms:created>
  <dcterms:modified xsi:type="dcterms:W3CDTF">2025-03-19T16:15:17Z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