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logotipo de la nube del templo</w:t>
      </w:r>
    </w:p>
    <w:p>
      <w:pPr>
        <w:pStyle w:val="BodyText"/>
      </w:pPr>
      <w:r>
        <w:t xml:space="preserve"> </w:t>
      </w:r>
    </w:p>
    <w:bookmarkStart w:id="22" w:name="acuerdo-de-servicio-iaas"/>
    <w:p>
      <w:pPr>
        <w:pStyle w:val="Heading1"/>
      </w:pPr>
      <w:r>
        <w:t xml:space="preserve">1. Acuerdo de servicio IaaS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destinatarios: ** ** patr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ocinador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Referencia de los documen</w:t>
            </w:r>
            <w:r>
              <w:t xml:space="preserve"> </w:t>
            </w:r>
            <w:r>
              <w:t xml:space="preserve">20251701_v3.0.docx_jour jj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tos ** ct.am.jur.anx cds -aaas -</w:t>
            </w:r>
            <w:r>
              <w:t xml:space="preserve"> </w:t>
            </w:r>
            <w:r>
              <w:t xml:space="preserve">aaa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Tus interlocutores ***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mbre ** Apellido*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Gerente de cuentas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Correo electrónico: *Nombre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*@Cloud-Temple.com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la última apuest</w:t>
            </w:r>
            <w:r>
              <w:t xml:space="preserve"> </w:t>
            </w:r>
            <w:r>
              <w:t xml:space="preserve">día**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al 17/01/2025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Fecha de validación Día J</w:t>
            </w:r>
            <w:r>
              <w:t xml:space="preserve"> </w:t>
            </w:r>
            <w:r>
              <w:t xml:space="preserve">contractual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 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Versión ** ** Fecha ** ** Acción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06/06/2022 Escritura inicial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14/09/2022 Lorena Alkalde Enriquecimiento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Indicadores de integración Lorena Alcalde</w:t>
            </w:r>
            <w:r>
              <w:t xml:space="preserve"> </w:t>
            </w:r>
            <w:r>
              <w:t xml:space="preserve">Enmienda Pie de Page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Capital y Lorraine editar</w:t>
            </w:r>
            <w:r>
              <w:t xml:space="preserve"> </w:t>
            </w:r>
            <w:r>
              <w:t xml:space="preserve">Enriquecimiento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Cierre de Lorena</w:t>
            </w:r>
            <w:r>
              <w:t xml:space="preserve"> </w:t>
            </w:r>
            <w:r>
              <w:t xml:space="preserve">Cierre de Lorena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Ajustes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Enriquecimiento de Cazaux Cazaux</w:t>
            </w:r>
            <w:r>
              <w:t xml:space="preserve"> </w:t>
            </w:r>
            <w:r>
              <w:t xml:space="preserve">———————————————————————————————————- 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2. Tabla de la venta</w:t>
            </w:r>
            <w:r>
              <w:t xml:space="preserve"> </w:t>
            </w:r>
            <w:r>
              <w:t xml:space="preserve">- [1.** Acuerdo de servicio</w:t>
            </w:r>
            <w:r>
              <w:t xml:space="preserve"> </w:t>
            </w:r>
            <w:r>
              <w:t xml:space="preserve">IaaS **] (#XC3786C07943AE71DEC5191B24567A7F31CB6100)</w:t>
            </w:r>
            <w:r>
              <w:t xml:space="preserve"> </w:t>
            </w:r>
            <w:r>
              <w:t xml:space="preserve">- [2.** caler de contenido **] (#x3dffd8c5466b60a9d1847f151e1ff8bf27d5bbe)</w:t>
            </w:r>
            <w:r>
              <w:t xml:space="preserve"> </w:t>
            </w:r>
            <w:r>
              <w:t xml:space="preserve">- [3.Preliminar y</w:t>
            </w:r>
            <w:r>
              <w:t xml:space="preserve"> </w:t>
            </w:r>
            <w:r>
              <w:t xml:space="preserve">Glosario] (#x9DF3D46524E9ACCEADA5B6725A4B3F19A8B9B42)</w:t>
            </w:r>
            <w:r>
              <w:t xml:space="preserve"> </w:t>
            </w:r>
            <w:r>
              <w:t xml:space="preserve">- [3.1.Preliminar] (#x72BDBCBBF0C088C7B664A8859DFF9C5E94A1C67)</w:t>
            </w:r>
            <w:r>
              <w:t xml:space="preserve"> </w:t>
            </w:r>
            <w:r>
              <w:t xml:space="preserve">- [3.2.Glosario] (#x0BD89FDDB7967DEDD9680ED4F7EFA236729EF3E)</w:t>
            </w:r>
            <w:r>
              <w:t xml:space="preserve"> </w:t>
            </w:r>
            <w:r>
              <w:t xml:space="preserve">- [4.Acrónimos] (#x69ea33329484b8f0083d344ad9c43d7dabdcc9)</w:t>
            </w:r>
            <w:r>
              <w:t xml:space="preserve"> </w:t>
            </w:r>
            <w:r>
              <w:t xml:space="preserve">- [5.Sujeto de este acuerdo de</w:t>
            </w:r>
            <w:r>
              <w:t xml:space="preserve"> </w:t>
            </w:r>
            <w:r>
              <w:t xml:space="preserve">Servicio] (#x30E34F28E133265489633A87E3ABD4D1A022DE5)</w:t>
            </w:r>
            <w:r>
              <w:t xml:space="preserve"> </w:t>
            </w:r>
            <w:r>
              <w:t xml:space="preserve">- [6.Auditoría] (#x910E2801262DE94AF71544B8FB509CC70CC79A)</w:t>
            </w:r>
            <w:r>
              <w:t xml:space="preserve"> </w:t>
            </w:r>
            <w:r>
              <w:t xml:space="preserve">- [7.Descripción del servicio] (#x3D12A6C93683F0122F5F9A8E21E7C12FC92490B)</w:t>
            </w:r>
            <w:r>
              <w:t xml:space="preserve"> </w:t>
            </w:r>
            <w:r>
              <w:t xml:space="preserve">- [7.1.Modelo de responsabilidad</w:t>
            </w:r>
            <w:r>
              <w:t xml:space="preserve"> </w:t>
            </w:r>
            <w:r>
              <w:t xml:space="preserve">Shared] (#x5AB2FD5CEB0DC76FEBF8E32F5665B4447285437)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c2d7af6dcb82a37a5102c9f7e9987b4befb8be3">
              <w:r>
                <w:rPr>
                  <w:rStyle w:val="Hyperlink"/>
                </w:rPr>
                <w:t xml:space="preserve">7.2.Presentación detallada del perímetro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Servicio</w:t>
              </w:r>
            </w:hyperlink>
            <w:r>
              <w:t xml:space="preserve"> </w:t>
            </w:r>
            <w:r>
              <w:t xml:space="preserve">(#xd81ad0562f6e00e693916802084624b2a4885a5)</w:t>
            </w:r>
            <w:r>
              <w:t xml:space="preserve"> </w:t>
            </w:r>
            <w:r>
              <w:t xml:space="preserve">- [7.2.1.Infraestructura</w:t>
            </w:r>
            <w:r>
              <w:t xml:space="preserve"> </w:t>
            </w:r>
            <w:r>
              <w:t xml:space="preserve">DatacEnters] (#XFD30A9E9CA5808EB0D0D2B0F76D875F494726D)))</w:t>
            </w:r>
            <w:r>
              <w:t xml:space="preserve"> </w:t>
            </w:r>
            <w:r>
              <w:t xml:space="preserve">- [7.2.2.Infraestructura de software para</w:t>
            </w:r>
            <w:r>
              <w:t xml:space="preserve"> </w:t>
            </w:r>
            <w:r>
              <w:t xml:space="preserve">Servicio] (#x429D709E167549B1F31F4CDBE79BBF526F0B1DC)</w:t>
            </w:r>
            <w:r>
              <w:t xml:space="preserve"> </w:t>
            </w:r>
            <w:r>
              <w:t xml:space="preserve">- [7.2.3.Infraestructura</w:t>
            </w:r>
            <w:r>
              <w:t xml:space="preserve"> </w:t>
            </w:r>
            <w:r>
              <w:t xml:space="preserve">Cálculo] (#x432e4596f65dd97ffb3314bc9725a08a9369f4d)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estructura-de-almacenamiento">
              <w:r>
                <w:rPr>
                  <w:rStyle w:val="Hyperlink"/>
                </w:rPr>
                <w:t xml:space="preserve">7.2.4.Infraestructura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Almacenamiento</w:t>
              </w:r>
            </w:hyperlink>
            <w:r>
              <w:t xml:space="preserve"> </w:t>
            </w:r>
            <w:r>
              <w:t xml:space="preserve">(#x30EFBAC0441AD31CD6EC07282A96ACFCD07E9B2)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fraestructura-de-red-global">
              <w:r>
                <w:rPr>
                  <w:rStyle w:val="Hyperlink"/>
                </w:rPr>
                <w:t xml:space="preserve">7.2.5.Infraestructura de red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Global</w:t>
              </w:r>
            </w:hyperlink>
            <w:r>
              <w:t xml:space="preserve"> </w:t>
            </w:r>
            <w:r>
              <w:t xml:space="preserve">(#x78b4484e386c95a988a698cd84bae342679ddb5)</w:t>
            </w:r>
            <w:r>
              <w:t xml:space="preserve"> </w:t>
            </w:r>
            <w:r>
              <w:t xml:space="preserve">- [7.2.6.Infraestructura de</w:t>
            </w:r>
            <w:r>
              <w:t xml:space="preserve"> </w:t>
            </w:r>
            <w:r>
              <w:t xml:space="preserve">copia de seguridad] (#xdf2c99a6958ca2f79a1cf60659dd5a3029ab31c)</w:t>
            </w:r>
            <w:r>
              <w:t xml:space="preserve"> </w:t>
            </w:r>
            <w:r>
              <w:t xml:space="preserve">- [7.2.7.Implementación de soluciones de actividad o actividad o</w:t>
            </w:r>
            <w:r>
              <w:t xml:space="preserve"> </w:t>
            </w:r>
            <w:r>
              <w:t xml:space="preserve">Continuidad de la actividad] (#x5610BFFA77DD1118E87CBEE05F204158179C962F)</w:t>
            </w:r>
            <w:r>
              <w:t xml:space="preserve"> </w:t>
            </w:r>
            <w:r>
              <w:t xml:space="preserve">- [7.3.Limitaciones de los servicios en el modelo IaaS</w:t>
            </w:r>
            <w:r>
              <w:t xml:space="preserve"> </w:t>
            </w:r>
            <w:r>
              <w:t xml:space="preserve">Calificado] (#x9AFA960AE3673041349D17F6A264DE8FB35D3B0)</w:t>
            </w:r>
            <w:r>
              <w:t xml:space="preserve"> </w:t>
            </w:r>
            <w:r>
              <w:t xml:space="preserve">- [7.3.1.Servicios administrados en</w:t>
            </w:r>
            <w:r>
              <w:t xml:space="preserve"> </w:t>
            </w:r>
            <w:r>
              <w:t xml:space="preserve">Ejecución] (#xa64cd9832e1132b6d2d4e8ef50163a925fcceeb)</w:t>
            </w:r>
            <w:r>
              <w:t xml:space="preserve"> </w:t>
            </w:r>
            <w:r>
              <w:t xml:space="preserve">- [7.3.2.Configuración de</w:t>
            </w:r>
            <w:r>
              <w:t xml:space="preserve"> </w:t>
            </w:r>
            <w:r>
              <w:t xml:space="preserve">Secours] (#XFC39A8474AE9C8D4EEDBB3B8E543DC0A137BD71)</w:t>
            </w:r>
            <w:r>
              <w:t xml:space="preserve"> </w:t>
            </w:r>
            <w:r>
              <w:t xml:space="preserve">- [7.3.3.Configuración de</w:t>
            </w:r>
            <w:r>
              <w:t xml:space="preserve"> </w:t>
            </w:r>
            <w:r>
              <w:t xml:space="preserve">Copia de seguridad] (#xfd8664b285a444273de0c9989256f92bc1f6ca2)</w:t>
            </w:r>
            <w:r>
              <w:t xml:space="preserve"> </w:t>
            </w:r>
            <w:r>
              <w:t xml:space="preserve">- [7.4.Implementación de</w:t>
            </w:r>
            <w:r>
              <w:t xml:space="preserve"> </w:t>
            </w:r>
            <w:r>
              <w:t xml:space="preserve">Servicio] (#x93e04903630a0a81d7b9ebc1a4c5a933dfa0088)</w:t>
            </w:r>
            <w:r>
              <w:t xml:space="preserve"> </w:t>
            </w:r>
            <w:r>
              <w:t xml:space="preserve">- [7.4.1.Requisito previo</w:t>
            </w:r>
            <w:r>
              <w:t xml:space="preserve"> </w:t>
            </w:r>
            <w:r>
              <w:t xml:space="preserve">Técnicas] (#x59ca4242dbed0e6d5e3efa2ba91a80866647f92)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ubicación-del-servicio-en-francia">
              <w:r>
                <w:rPr>
                  <w:rStyle w:val="Hyperlink"/>
                </w:rPr>
                <w:t xml:space="preserve">7.5.Ubicación del servicio en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Francia</w:t>
              </w:r>
            </w:hyperlink>
            <w:r>
              <w:t xml:space="preserve"> </w:t>
            </w:r>
            <w:r>
              <w:t xml:space="preserve">(#XDCEA3053ACC96CF4C715A189F3D7D9842C70915)</w:t>
            </w:r>
            <w:r>
              <w:t xml:space="preserve"> </w:t>
            </w:r>
            <w:r>
              <w:t xml:space="preserve">- [7.5.1.Ubicación de los centros de datos que alojan el</w:t>
            </w:r>
            <w:r>
              <w:t xml:space="preserve"> </w:t>
            </w:r>
            <w:r>
              <w:t xml:space="preserve">Servicio] (#xac9c0f685576284f9431d5c1b6df99bc7ab662b)</w:t>
            </w:r>
            <w:r>
              <w:t xml:space="preserve"> </w:t>
            </w:r>
            <w:r>
              <w:t xml:space="preserve">- [7.5.2.Ubicación de las agencias del templo en la nube que operan</w:t>
            </w:r>
            <w:r>
              <w:t xml:space="preserve"> </w:t>
            </w:r>
            <w:r>
              <w:t xml:space="preserve">Servicio] (#x528B4E5E85B084898DF1A4B0EE003FDA94DCA5D)</w:t>
            </w:r>
            <w:r>
              <w:t xml:space="preserve"> </w:t>
            </w:r>
            <w:r>
              <w:t xml:space="preserve">- [7.6.Soporte] (#x451baaab9b4764d97da95395b7e24265143a283)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5b64b560834049ae90239d33777677ec633909f">
              <w:r>
                <w:rPr>
                  <w:rStyle w:val="Hyperlink"/>
                </w:rPr>
                <w:t xml:space="preserve">7.6.1.Naturaleza del apoyo que acompaña 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Servicio</w:t>
              </w:r>
            </w:hyperlink>
            <w:r>
              <w:t xml:space="preserve"> </w:t>
            </w:r>
            <w:r>
              <w:t xml:space="preserve">(#x192381358bcad693baa22b16773742f4cf227)</w:t>
            </w:r>
            <w:r>
              <w:t xml:space="preserve"> </w:t>
            </w:r>
            <w:r>
              <w:t xml:space="preserve">- [7.6.2.Solicitud de servicio de soporte</w:t>
            </w:r>
            <w:r>
              <w:t xml:space="preserve"> </w:t>
            </w:r>
            <w:r>
              <w:t xml:space="preserve">Técnica] (#x03EF425751011DF1818D9488DF5625576C33F5E)</w:t>
            </w:r>
            <w:r>
              <w:t xml:space="preserve"> </w:t>
            </w:r>
            <w:r>
              <w:t xml:space="preserve">- [7.6.3.Proceso de gestión</w:t>
            </w:r>
            <w:r>
              <w:t xml:space="preserve"> </w:t>
            </w:r>
            <w:r>
              <w:t xml:space="preserve">Incidentes] (#xac759d2aee6d685130dea876d7a1ed0388b994)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proceso-de-priorización-de-tratamientos">
              <w:r>
                <w:rPr>
                  <w:rStyle w:val="Hyperlink"/>
                </w:rPr>
                <w:t xml:space="preserve">7.6.4.Proceso de priorización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Tratamientos</w:t>
              </w:r>
            </w:hyperlink>
            <w:r>
              <w:t xml:space="preserve"> </w:t>
            </w:r>
            <w:r>
              <w:t xml:space="preserve">(#x30A0604E2D2957AE43D1F1FE2CB9C04F5C05885)</w:t>
            </w:r>
            <w:r>
              <w:t xml:space="preserve"> </w:t>
            </w:r>
            <w:r>
              <w:t xml:space="preserve">- [7.6.5.Idioma y ubicación del servicio</w:t>
            </w:r>
            <w:r>
              <w:t xml:space="preserve"> </w:t>
            </w:r>
            <w:r>
              <w:t xml:space="preserve">Soporte] (#x1AFC584A9D5F886A1AD8B9CA498773D2E10CFF8)</w:t>
            </w:r>
            <w:r>
              <w:t xml:space="preserve"> </w:t>
            </w:r>
            <w:r>
              <w:t xml:space="preserve">- [8.Compromisos y niveles de</w:t>
            </w:r>
            <w:r>
              <w:t xml:space="preserve"> </w:t>
            </w:r>
            <w:r>
              <w:t xml:space="preserve">Servicios] (#XF1662FA601C14A35F4B238C1EFFE9C712D3EFBE)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d22d7bb06a44b200e98320f3c587fafbae4bec4">
              <w:r>
                <w:rPr>
                  <w:rStyle w:val="Hyperlink"/>
                </w:rPr>
                <w:t xml:space="preserve">8.1.Compromisos de disponibilidad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Infraestructura</w:t>
              </w:r>
            </w:hyperlink>
            <w:r>
              <w:t xml:space="preserve"> </w:t>
            </w:r>
            <w:r>
              <w:t xml:space="preserve">(#x8e3206aed4045e8fbaad84d93ea150db664eb69)</w:t>
            </w:r>
            <w:r>
              <w:t xml:space="preserve"> </w:t>
            </w:r>
            <w:r>
              <w:t xml:space="preserve">- [8.2.Compromiso de disponibilidad de interfaz</w:t>
            </w:r>
            <w:r>
              <w:t xml:space="preserve"> </w:t>
            </w:r>
            <w:r>
              <w:t xml:space="preserve">Comandante] (#x86570f48e6da9370f069232b4ae175183f2dafd)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compromiso-de-disponibilidad-de-soporte">
              <w:r>
                <w:rPr>
                  <w:rStyle w:val="Hyperlink"/>
                </w:rPr>
                <w:t xml:space="preserve">8.3.Compromiso de disponibilidad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Soporte</w:t>
              </w:r>
            </w:hyperlink>
            <w:r>
              <w:t xml:space="preserve"> </w:t>
            </w:r>
            <w:r>
              <w:t xml:space="preserve">(#XFC8548982B300528A67725F1705F15805F405F0)</w:t>
            </w:r>
            <w:r>
              <w:t xml:space="preserve"> </w:t>
            </w:r>
            <w:r>
              <w:t xml:space="preserve">- [8.4.Compromiso de disponibilidad de almacenamiento de objetos</w:t>
            </w:r>
            <w:r>
              <w:t xml:space="preserve"> </w:t>
            </w:r>
            <w:r>
              <w:t xml:space="preserve">S3] (#xD1858BB2EC86B964CB6A768CB7D9A7A780ABB7B)</w:t>
            </w:r>
            <w:r>
              <w:t xml:space="preserve"> </w:t>
            </w:r>
            <w:r>
              <w:t xml:space="preserve">- [8.5.Precisión sobre el compromiso de</w:t>
            </w:r>
            <w:r>
              <w:t xml:space="preserve"> </w:t>
            </w:r>
            <w:r>
              <w:t xml:space="preserve">Copia de seguridad] (#xcc0ee164bf81418fd2280ceac4eb569bf7b97f7)</w:t>
            </w:r>
            <w:r>
              <w:t xml:space="preserve"> </w:t>
            </w:r>
            <w:r>
              <w:t xml:space="preserve">- [9.Organización de la relación</w:t>
            </w:r>
            <w:r>
              <w:t xml:space="preserve"> </w:t>
            </w:r>
            <w:r>
              <w:t xml:space="preserve">contractual] (#xf5428518d06ee6569b2c74ea4a26421ab09998e2)</w:t>
            </w:r>
            <w:r>
              <w:t xml:space="preserve"> </w:t>
            </w:r>
            <w:r>
              <w:t xml:space="preserve">- [9.1.Responsabilidad de</w:t>
            </w:r>
            <w:r>
              <w:t xml:space="preserve"> </w:t>
            </w:r>
            <w:r>
              <w:t xml:space="preserve">Proveedor] (#x29068434a285c3f52c7ddc1ef50404d65e76fb5)</w:t>
            </w:r>
            <w:r>
              <w:t xml:space="preserve"> </w:t>
            </w:r>
            <w:r>
              <w:t xml:space="preserve">- [9.2.Limitación de responsabilidades de</w:t>
            </w:r>
            <w:r>
              <w:t xml:space="preserve"> </w:t>
            </w:r>
            <w:r>
              <w:t xml:space="preserve">Proveedor] (#x19121b2bd4fb4e4f45228e8bab910b62dc757c1)</w:t>
            </w:r>
            <w:r>
              <w:t xml:space="preserve"> </w:t>
            </w:r>
            <w:r>
              <w:t xml:space="preserve">- [9.3.Limitación de acceso] (#x4e70434457f7c115f116a9f6ea4ab4af9b8d941)</w:t>
            </w:r>
            <w:r>
              <w:t xml:space="preserve"> </w:t>
            </w:r>
            <w:r>
              <w:t xml:space="preserve">- [9.4.Responsabilidades de terceros que participan en el suministro de</w:t>
            </w:r>
            <w:r>
              <w:t xml:space="preserve"> </w:t>
            </w:r>
            <w:r>
              <w:t xml:space="preserve">Templo seguro de servicio] (#XC662A81CADD2BAA300CA83A27240DEC61621A56)</w:t>
            </w:r>
            <w:r>
              <w:t xml:space="preserve"> </w:t>
            </w:r>
            <w:r>
              <w:t xml:space="preserve">- [9.5.Responsabilidades y obligaciones de</w:t>
            </w:r>
            <w:r>
              <w:t xml:space="preserve"> </w:t>
            </w:r>
            <w:r>
              <w:t xml:space="preserve">Comandante] (#x53C94C34C467A68244EA6CE991E3E56C55D5D85)</w:t>
            </w:r>
            <w:r>
              <w:t xml:space="preserve"> </w:t>
            </w:r>
            <w:r>
              <w:t xml:space="preserve">- [9.6.Derechos de</w:t>
            </w:r>
            <w:r>
              <w:t xml:space="preserve"> </w:t>
            </w:r>
            <w:r>
              <w:t xml:space="preserve">Comandante] (#xc34f07dff71165a85ac919098e14cdc0f0f59e0)</w:t>
            </w:r>
            <w:r>
              <w:t xml:space="preserve"> </w:t>
            </w:r>
            <w:r>
              <w:t xml:space="preserve">- [9.7.Borrado de datos al final de</w:t>
            </w:r>
            <w:r>
              <w:t xml:space="preserve"> </w:t>
            </w:r>
            <w:r>
              <w:t xml:space="preserve">Contrato] (#x18AF7E8DB06FE2D84076A4E5A797E8B384BC11)</w:t>
            </w:r>
            <w:r>
              <w:t xml:space="preserve"> </w:t>
            </w:r>
            <w:r>
              <w:t xml:space="preserve">- [10.Ciclo de vida de este Acuerdo</w:t>
            </w:r>
            <w:r>
              <w:t xml:space="preserve"> </w:t>
            </w:r>
            <w:r>
              <w:t xml:space="preserve">Servicio] (#x897444c1f67247955b75e73d73aaa55899645415)</w:t>
            </w:r>
            <w:r>
              <w:t xml:space="preserve"> </w:t>
            </w:r>
            <w:r>
              <w:t xml:space="preserve">- [10.1.Entrada de la</w:t>
            </w:r>
            <w:r>
              <w:t xml:space="preserve"> </w:t>
            </w:r>
            <w:r>
              <w:t xml:space="preserve">Servicio] (#xa3b4f57d1f6067d72eba0c13dc12b4e2e5a4cf1)</w:t>
            </w:r>
            <w:r>
              <w:t xml:space="preserve"> </w:t>
            </w:r>
            <w:r>
              <w:t xml:space="preserve">- [10.2.Desarrollos en el</w:t>
            </w:r>
            <w:r>
              <w:t xml:space="preserve"> </w:t>
            </w:r>
            <w:r>
              <w:t xml:space="preserve">Servicio] (#XB5B2D189Dece37Be8660FBD35B3E0D097BB2969)</w:t>
            </w:r>
            <w:r>
              <w:t xml:space="preserve"> </w:t>
            </w:r>
            <w:r>
              <w:t xml:space="preserve">- [10.2.1.Desarrollos desencadenados por el</w:t>
            </w:r>
            <w:r>
              <w:t xml:space="preserve"> </w:t>
            </w:r>
            <w:r>
              <w:t xml:space="preserve">Comandante] (#x946A541A54AB2F0CA92CA2E5AB41B3740F564)</w:t>
            </w:r>
            <w:r>
              <w:t xml:space="preserve"> </w:t>
            </w:r>
            <w:r>
              <w:t xml:space="preserve">- [10.2.2.Desarrollos desencadenados por el</w:t>
            </w:r>
            <w:r>
              <w:t xml:space="preserve"> </w:t>
            </w:r>
            <w:r>
              <w:t xml:space="preserve">Proveedor] (#xe94b2234fc6249c7021ff8c044fdaa857f6a9af)</w:t>
            </w:r>
            <w:r>
              <w:t xml:space="preserve"> </w:t>
            </w:r>
            <w:r>
              <w:t xml:space="preserve">- [10.3.Reversibilidad] (#x483eba08298e38537f9f27b026e82e1ece7ce7e)</w:t>
            </w:r>
            <w:r>
              <w:t xml:space="preserve"> </w:t>
            </w:r>
            <w:r>
              <w:t xml:space="preserve">- [11.Disponibilidad, continuidad y restauración de</w:t>
            </w:r>
            <w:r>
              <w:t xml:space="preserve"> </w:t>
            </w:r>
            <w:r>
              <w:t xml:space="preserve">Servicio] (#x115FCC8F59C1201DAE17A3D86136D153BE01044)</w:t>
            </w:r>
            <w:r>
              <w:t xml:space="preserve"> </w:t>
            </w:r>
            <w:r>
              <w:t xml:space="preserve">- [11.1.Gestión de incidentes y</w:t>
            </w:r>
            <w:r>
              <w:t xml:space="preserve"> </w:t>
            </w:r>
            <w:r>
              <w:t xml:space="preserve">Interrupciones] (#x55FC305E53901383E26FDA6B4957FBEEFA9CA)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incidentes">
              <w:r>
                <w:rPr>
                  <w:rStyle w:val="Hyperlink"/>
                </w:rPr>
                <w:t xml:space="preserve">11.1.1.Incidentes</w:t>
              </w:r>
            </w:hyperlink>
            <w:r>
              <w:t xml:space="preserve"> </w:t>
            </w:r>
            <w:r>
              <w:t xml:space="preserve">(#x648046C564AC1CD52BEBB02B256B193A3DA4D74)</w:t>
            </w:r>
            <w:r>
              <w:t xml:space="preserve"> </w:t>
            </w:r>
            <w:r>
              <w:t xml:space="preserve">- [11.1.1.1.Tipos de incidentes tratados como parte de este</w:t>
            </w:r>
            <w:r>
              <w:t xml:space="preserve"> </w:t>
            </w:r>
            <w:r>
              <w:t xml:space="preserve">Convención de</w:t>
            </w:r>
            <w:r>
              <w:t xml:space="preserve"> </w:t>
            </w:r>
            <w:r>
              <w:t xml:space="preserve">Servicio] (#x09CC1E222DB275B1A463F85596829F3F871AE224)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tratamiento-de-incidentes">
              <w:r>
                <w:rPr>
                  <w:rStyle w:val="Hyperlink"/>
                </w:rPr>
                <w:t xml:space="preserve">11.1.1.2.Tratamiento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Incidentes</w:t>
              </w:r>
            </w:hyperlink>
            <w:r>
              <w:t xml:space="preserve"> </w:t>
            </w:r>
            <w:r>
              <w:t xml:space="preserve">(#x726D7A25D789F16DB26761D7DF0C2C91F7BC3A)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w:anchor="X34f13b20b1943f2090e194993c0968bbdc6c71a">
              <w:r>
                <w:rPr>
                  <w:rStyle w:val="Hyperlink"/>
                </w:rPr>
                <w:t xml:space="preserve">11.1.1.3.Nivel de notificación de incidentes 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Seguridad</w:t>
              </w:r>
            </w:hyperlink>
            <w:r>
              <w:t xml:space="preserve"> </w:t>
            </w:r>
            <w:r>
              <w:t xml:space="preserve">(#x61ceb4b8f57902c74fbf77bb211197e5a82412)</w:t>
            </w:r>
            <w:r>
              <w:t xml:space="preserve"> </w:t>
            </w:r>
            <w:r>
              <w:t xml:space="preserve">- [11.2.Mantenimiento de</w:t>
            </w:r>
            <w:r>
              <w:t xml:space="preserve"> </w:t>
            </w:r>
            <w:r>
              <w:t xml:space="preserve">Servicio] (#x8F50B0B400C67568E380DDB602AC786EC585905)</w:t>
            </w:r>
            <w:r>
              <w:t xml:space="preserve"> </w:t>
            </w:r>
            <w:r>
              <w:t xml:space="preserve">- [11.2.1.Naturaleza del</w:t>
            </w:r>
            <w:r>
              <w:t xml:space="preserve"> </w:t>
            </w:r>
            <w:r>
              <w:t xml:space="preserve">Mantenimiento] (#x903D92EDF16182242ECFD404337EDBAF2243B81)</w:t>
            </w:r>
            <w:r>
              <w:t xml:space="preserve"> </w:t>
            </w:r>
            <w:r>
              <w:t xml:space="preserve">- [11.2.2.Acceso distante del templo de la nube en el perímetro de</w:t>
            </w:r>
            <w:r>
              <w:t xml:space="preserve"> </w:t>
            </w:r>
            <w:r>
              <w:t xml:space="preserve">Comandante] (#x89ffba42dc424905d6209f36393e0e942b9ed6)</w:t>
            </w:r>
            <w:r>
              <w:t xml:space="preserve"> </w:t>
            </w:r>
            <w:r>
              <w:t xml:space="preserve">- [11.2.3.Acceso de accesorios en tercer acceso participando en el suministro de</w:t>
            </w:r>
            <w:r>
              <w:t xml:space="preserve"> </w:t>
            </w:r>
            <w:r>
              <w:t xml:space="preserve">servicio en el perímetro de</w:t>
            </w:r>
            <w:r>
              <w:t xml:space="preserve"> </w:t>
            </w:r>
            <w:r>
              <w:t xml:space="preserve">Comandante] (#x7ad951099cc984b8fc113222e52c4e27d11465f)</w:t>
            </w:r>
            <w:r>
              <w:t xml:space="preserve"> </w:t>
            </w:r>
            <w:r>
              <w:t xml:space="preserve">- [12.Procedimiento de eliminación de datos al final de</w:t>
            </w:r>
            <w:r>
              <w:t xml:space="preserve"> </w:t>
            </w:r>
            <w:r>
              <w:t xml:space="preserve">Contrato] (#x4EF75D44456496B7EB26B3D2DD8783CF17BD26C2)</w:t>
            </w:r>
            <w:r>
              <w:t xml:space="preserve"> </w:t>
            </w:r>
            <w:r>
              <w:t xml:space="preserve">- [13.Ley aplicable] (#xDC569BBB194E0E4A197CF31537DB4BF08BF3ECA)</w:t>
            </w:r>
            <w:r>
              <w:t xml:space="preserve"> </w:t>
            </w:r>
            <w:r>
              <w:t xml:space="preserve">- [13.1.En cierto sentido</w:t>
            </w:r>
            <w:r>
              <w:t xml:space="preserve"> </w:t>
            </w:r>
            <w:r>
              <w:t xml:space="preserve">General] (#x5ED94D170893FB4C04D7110C419F01198FDA773)</w:t>
            </w:r>
            <w:r>
              <w:t xml:space="preserve"> </w:t>
            </w:r>
            <w:r>
              <w:t xml:space="preserve">- [13.2.Cumplimiento de la ley y las regulaciones</w:t>
            </w:r>
            <w:r>
              <w:t xml:space="preserve"> </w:t>
            </w:r>
            <w:r>
              <w:t xml:space="preserve">Aplicable] (#xCE704548FDD653BA3DBDFE64FEFFF60A0972C3F)</w:t>
            </w:r>
            <w:r>
              <w:t xml:space="preserve"> </w:t>
            </w:r>
            <w:r>
              <w:t xml:space="preserve">- [13.3.RGPD] (#xfc35add53571984b04e4fc9d49dcfff4b7b3395)</w:t>
            </w:r>
            <w:r>
              <w:t xml:space="preserve"> </w:t>
            </w:r>
            <w:r>
              <w:t xml:space="preserve">- [13.4.Protección con respecto a la ley</w:t>
            </w:r>
            <w:r>
              <w:t xml:space="preserve"> </w:t>
            </w:r>
            <w:r>
              <w:t xml:space="preserve">Extraeuropeo] (#x5171f5ee735df20bc2100671620eddd76dca12d)</w:t>
            </w:r>
            <w:r>
              <w:t xml:space="preserve"> </w:t>
            </w:r>
            <w:r>
              <w:t xml:space="preserve">- [14.Firmas] (#x7ad993788a708b47017c27c9d96178e8795e44f)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3. Preliminar y Glosario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3.1.Preliminar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Este documento formaliza el acuerdo de servicio asociado con</w:t>
            </w:r>
            <w:r>
              <w:t xml:space="preserve"> </w:t>
            </w:r>
            <w:r>
              <w:t xml:space="preserve">Servicio IaaS calificado SecnumCloud bajo el nombre de</w:t>
            </w:r>
            <w:r>
              <w:t xml:space="preserve"> </w:t>
            </w:r>
            <w:r>
              <w:t xml:space="preserve">“</w:t>
            </w:r>
            <w:r>
              <w:rPr>
                <w:i/>
                <w:iCs/>
              </w:rPr>
              <w:t xml:space="preserve">Secure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Templo</w:t>
            </w:r>
            <w:r>
              <w:rPr>
                <w:i/>
                <w:iCs/>
              </w:rPr>
              <w:t xml:space="preserve"> 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servicio está calificado SecnumCloud (ver Certificado en Anexo).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Este acuerdo de servicio completo y es complementario a</w:t>
            </w:r>
            <w:r>
              <w:t xml:space="preserve"> </w:t>
            </w:r>
            <w:r>
              <w:t xml:space="preserve">Condiciones generales de venta y uso del proveedor de servicios.Él es</w:t>
            </w:r>
            <w:r>
              <w:t xml:space="preserve"> </w:t>
            </w:r>
            <w:r>
              <w:t xml:space="preserve">entendió que los documentos contractuales se interpretan en un</w:t>
            </w:r>
            <w:r>
              <w:t xml:space="preserve"> </w:t>
            </w:r>
            <w:r>
              <w:t xml:space="preserve">consistente entre sí.En caso de contradicción o divergencia entre</w:t>
            </w:r>
            <w:r>
              <w:t xml:space="preserve"> </w:t>
            </w:r>
            <w:r>
              <w:t xml:space="preserve">Términos de documentos contractuales, los documentos prevalecerán sobre</w:t>
            </w:r>
            <w:r>
              <w:t xml:space="preserve"> </w:t>
            </w:r>
            <w:r>
              <w:t xml:space="preserve">los otros en el siguiente orden: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Condiciones generales de venta y uso (CGVU)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Acuerdo de servicio SecnumCloud Openiaas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Acuerdo de servicio SecnumCloud PaaS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Acuerdo de servicio específico: metal desnudo</w:t>
            </w:r>
            <w:r>
              <w:t xml:space="preserve"> </w:t>
            </w:r>
            <w:r>
              <w:t xml:space="preserve">6. Acuerdo específico específico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Plan de seguro de seguridad (no)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Condiciones especiales de uso (CPU)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Agrimento de protección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3.2.Glosario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 este acuerdo de servicio, el ** patrocinador</w:t>
            </w:r>
            <w:r>
              <w:t xml:space="preserve"> </w:t>
            </w:r>
            <w:r>
              <w:rPr>
                <w:b/>
                <w:bCs/>
              </w:rPr>
              <w:t xml:space="preserve">, el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Proveedor ** y las ** Partes ** se identifican en el contrato</w:t>
            </w:r>
            <w:r>
              <w:t xml:space="preserve"> </w:t>
            </w:r>
            <w:r>
              <w:t xml:space="preserve">a lo que se anexa este 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 siguientes expresiones utilizadas en este</w:t>
            </w:r>
            <w:r>
              <w:t xml:space="preserve"> </w:t>
            </w:r>
            <w:r>
              <w:t xml:space="preserve">el servicio se interpretará de acuerdo con las definiciones que son</w:t>
            </w:r>
            <w:r>
              <w:t xml:space="preserve"> </w:t>
            </w:r>
            <w:r>
              <w:t xml:space="preserve">asignado a continuación: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Cambio: ** Cualquier adición, una modificación o eliminación impactante</w:t>
            </w:r>
            <w:r>
              <w:t xml:space="preserve"> </w:t>
            </w:r>
            <w:r>
              <w:t xml:space="preserve">El servicio, después de haber sido autorizado, planeado o atendido.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Cambio estándar: ** Cambio sujeto a un procedimiento,</w:t>
            </w:r>
            <w:r>
              <w:t xml:space="preserve"> </w:t>
            </w:r>
            <w:r>
              <w:t xml:space="preserve">incluyendo métodos de producción e impactos (incluyendo</w:t>
            </w:r>
            <w:r>
              <w:t xml:space="preserve"> </w:t>
            </w:r>
            <w:r>
              <w:t xml:space="preserve">Los financieros) son conocidos y aceptados por adelantado por las partes.Él es</w:t>
            </w:r>
            <w:r>
              <w:t xml:space="preserve"> </w:t>
            </w:r>
            <w:r>
              <w:t xml:space="preserve">luego integrado en el catálogo de cambios estándar, y puede de acuerdo con</w:t>
            </w:r>
            <w:r>
              <w:t xml:space="preserve"> </w:t>
            </w:r>
            <w:r>
              <w:t xml:space="preserve">Los casos tienen un GTI y un GTR.</w:t>
            </w:r>
            <w:r>
              <w:t xml:space="preserve"> </w:t>
            </w:r>
            <w:r>
              <w:t xml:space="preserve">- ** Contrato: ** Designa el contrato firmado por el patrocinador con</w:t>
            </w:r>
            <w:r>
              <w:t xml:space="preserve"> </w:t>
            </w:r>
            <w:r>
              <w:t xml:space="preserve">del proveedor de servicios para permitir que el patrocinador se beneficie del</w:t>
            </w:r>
            <w:r>
              <w:t xml:space="preserve"> </w:t>
            </w:r>
            <w:r>
              <w:t xml:space="preserve">Servicio, y al que se anexa este 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 *** Acuerdo de servicio: ** Este documento, elaborado en el marco de un</w:t>
            </w:r>
            <w:r>
              <w:t xml:space="preserve"> </w:t>
            </w:r>
            <w:r>
              <w:t xml:space="preserve">contrato específico o condiciones generales de venta y</w:t>
            </w:r>
            <w:r>
              <w:t xml:space="preserve"> </w:t>
            </w:r>
            <w:r>
              <w:t xml:space="preserve">de uso (CGVU), de acuerdo con los requisitos de</w:t>
            </w:r>
            <w:r>
              <w:t xml:space="preserve"> </w:t>
            </w:r>
            <w:r>
              <w:t xml:space="preserve">Repositorio de SecnumCloud.</w:t>
            </w:r>
            <w:r>
              <w:t xml:space="preserve"> </w:t>
            </w:r>
            <w:r>
              <w:t xml:space="preserve">- ** Solicitud de servicio: ** Solicitud de devolución sujeta a un</w:t>
            </w:r>
            <w:r>
              <w:t xml:space="preserve"> </w:t>
            </w:r>
            <w:r>
              <w:t xml:space="preserve">Procedimiento, cuya realización: i) no modifica el CMDB, ii) el modo</w:t>
            </w:r>
            <w:r>
              <w:t xml:space="preserve"> </w:t>
            </w:r>
            <w:r>
              <w:t xml:space="preserve">operativo, costos y riesgos son conocidos y aceptados para</w:t>
            </w:r>
            <w:r>
              <w:t xml:space="preserve"> </w:t>
            </w:r>
            <w:r>
              <w:t xml:space="preserve">avanzar y no requieren métodos de retorno traseros</w:t>
            </w:r>
            <w:r>
              <w:t xml:space="preserve"> </w:t>
            </w:r>
            <w:r>
              <w:t xml:space="preserve">específico iii) la realización está sujeta a un nivel de nivel de</w:t>
            </w:r>
            <w:r>
              <w:t xml:space="preserve"> </w:t>
            </w:r>
            <w:r>
              <w:t xml:space="preserve">servicio e incluido en la tarifa del contrato cuando es</w:t>
            </w:r>
            <w:r>
              <w:t xml:space="preserve"> </w:t>
            </w:r>
            <w:r>
              <w:t xml:space="preserve">Realizado en horas de trabajo y días laborales.</w:t>
            </w:r>
            <w:r>
              <w:t xml:space="preserve"> </w:t>
            </w:r>
            <w:r>
              <w:t xml:space="preserve">- ** Disponibilidad: ** Capacidad para garantizar la disponibilidad y el mantenimiento</w:t>
            </w:r>
            <w:r>
              <w:t xml:space="preserve"> </w:t>
            </w:r>
            <w:r>
              <w:t xml:space="preserve">rendimiento óptimo del servicio, de acuerdo con los criterios y</w:t>
            </w:r>
            <w:r>
              <w:t xml:space="preserve"> </w:t>
            </w:r>
            <w:r>
              <w:t xml:space="preserve">Compromisos definidos en el nivel de acuerdos de servicio (SLA).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Datos técnicos **: Incluye todos los datos manipulados</w:t>
            </w:r>
            <w:r>
              <w:t xml:space="preserve"> </w:t>
            </w:r>
            <w:r>
              <w:t xml:space="preserve">Para emitir el servicio, especialmente cuya identidad de</w:t>
            </w:r>
            <w:r>
              <w:t xml:space="preserve"> </w:t>
            </w:r>
            <w:r>
              <w:t xml:space="preserve">beneficiarios y administradores de la infraestructura técnica,</w:t>
            </w:r>
            <w:r>
              <w:t xml:space="preserve"> </w:t>
            </w:r>
            <w:r>
              <w:t xml:space="preserve">periódicos de infraestructura técnica, configuración de acceso,</w:t>
            </w:r>
            <w:r>
              <w:t xml:space="preserve"> </w:t>
            </w:r>
            <w:r>
              <w:t xml:space="preserve">Directorio, certificados  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Evento: ** Un  “evento " es todo detectable o ocurrencia o</w:t>
            </w:r>
            <w:r>
              <w:t xml:space="preserve"> </w:t>
            </w:r>
            <w:r>
              <w:t xml:space="preserve">identificable que puede ser importante para administrar el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Hypervisor: ** Sistema operativo que permite la ejecución de</w:t>
            </w:r>
            <w:r>
              <w:t xml:space="preserve"> </w:t>
            </w:r>
            <w:r>
              <w:t xml:space="preserve">Máquinas virtuales en una cuchilla de cálculo.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Incidente: ** Cualquier evento imprevisto que interrumpa la operación</w:t>
            </w:r>
            <w:r>
              <w:t xml:space="preserve"> </w:t>
            </w:r>
            <w:r>
              <w:t xml:space="preserve">servicio normal o compromete la seguridad de los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Incidente de seguridad: ** Cualquier evento dentro del perímetro del</w:t>
            </w:r>
            <w:r>
              <w:t xml:space="preserve"> </w:t>
            </w:r>
            <w:r>
              <w:t xml:space="preserve">Servicio:</w:t>
            </w:r>
            <w:r>
              <w:t xml:space="preserve"> </w:t>
            </w:r>
            <w:r>
              <w:t xml:space="preserve">- De nature intentionnellement malveillante ;</w:t>
            </w:r>
            <w:r>
              <w:t xml:space="preserve"> </w:t>
            </w:r>
            <w:r>
              <w:t xml:space="preserve">- De nature accidentelle portant atteinte à l’intégrité, la</w:t>
            </w:r>
            <w:r>
              <w:t xml:space="preserve"> </w:t>
            </w:r>
            <w:r>
              <w:t xml:space="preserve">confidentialité ou la traçabilité du Service ou des données du</w:t>
            </w:r>
            <w:r>
              <w:t xml:space="preserve"> </w:t>
            </w:r>
            <w:r>
              <w:t xml:space="preserve">COMMANDITAIRE ;</w:t>
            </w:r>
            <w:r>
              <w:t xml:space="preserve"> </w:t>
            </w:r>
            <w:r>
              <w:t xml:space="preserve">- Portant atteinte aux mesures de sécurité existantes. Les atteintes à</w:t>
            </w:r>
            <w:r>
              <w:t xml:space="preserve"> </w:t>
            </w:r>
            <w:r>
              <w:t xml:space="preserve">la Disponibilité d’origine non-malveillante ne sont pas considérées</w:t>
            </w:r>
            <w:r>
              <w:t xml:space="preserve"> </w:t>
            </w:r>
            <w:r>
              <w:t xml:space="preserve">comme un Incident de sécurité (panne matérielle, bug,</w:t>
            </w:r>
            <w:r>
              <w:t xml:space="preserve"> </w:t>
            </w:r>
            <w:r>
              <w:t xml:space="preserve">dysfonctionnement, sinistre naturel…).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Interfaz Commander: ** Interfaz de administración de servicios</w:t>
            </w:r>
            <w:r>
              <w:t xml:space="preserve"> </w:t>
            </w:r>
            <w:r>
              <w:t xml:space="preserve">provisión del patrocinador por parte del proveedor de servicios, que reúne un</w:t>
            </w:r>
            <w:r>
              <w:t xml:space="preserve"> </w:t>
            </w:r>
            <w:r>
              <w:t xml:space="preserve">Consola de administración web y una API.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Poner en producción: ** Acción (s) de administración para la realización de</w:t>
            </w:r>
            <w:r>
              <w:t xml:space="preserve"> </w:t>
            </w:r>
            <w:r>
              <w:t xml:space="preserve">Cambiar cuando se aprueba (cambiar, en el sentido de ITIL,</w:t>
            </w:r>
            <w:r>
              <w:t xml:space="preserve"> </w:t>
            </w:r>
            <w:r>
              <w:t xml:space="preserve">solo con respecto a la gestión del cambio y no en su</w:t>
            </w:r>
            <w:r>
              <w:t xml:space="preserve"> </w:t>
            </w:r>
            <w:r>
              <w:t xml:space="preserve">Realización/concretización).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Problema **: Causa de uno o más incidentes recurrentes, causa</w:t>
            </w:r>
            <w:r>
              <w:t xml:space="preserve"> </w:t>
            </w:r>
            <w:r>
              <w:t xml:space="preserve">Un incidente potencial (situación de riesgo) que requiere un análisis</w:t>
            </w:r>
            <w:r>
              <w:t xml:space="preserve"> </w:t>
            </w:r>
            <w:r>
              <w:t xml:space="preserve">y una resolución para evitar su recurrencia.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Región: ** Designa un conjunto de zonas geográficamente delimitado de</w:t>
            </w:r>
            <w:r>
              <w:t xml:space="preserve"> </w:t>
            </w:r>
            <w:r>
              <w:t xml:space="preserve">Disponibilidad en la nube, proporcionar red, cálculo y</w:t>
            </w:r>
            <w:r>
              <w:t xml:space="preserve"> </w:t>
            </w:r>
            <w:r>
              <w:t xml:space="preserve">Almacenamiento para optimizar la latencia, el rendimiento y el cumplimiento</w:t>
            </w:r>
            <w:r>
              <w:t xml:space="preserve"> </w:t>
            </w:r>
            <w:r>
              <w:t xml:space="preserve">Regulatorio local.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Servicio: ** Designa el servicio calificado SecnumCloud IaaS</w:t>
            </w:r>
            <w:r>
              <w:t xml:space="preserve"> </w:t>
            </w:r>
            <w:r>
              <w:t xml:space="preserve">“seguro</w:t>
            </w:r>
            <w:r>
              <w:t xml:space="preserve"> </w:t>
            </w:r>
            <w:r>
              <w:t xml:space="preserve">Templo ”, emitido al patrocinador por el proveedor de servicios para</w:t>
            </w:r>
            <w:r>
              <w:t xml:space="preserve"> </w:t>
            </w:r>
            <w:r>
              <w:t xml:space="preserve">Infraestructura técnica mantenida por el proveedor de servicios, como</w:t>
            </w:r>
            <w:r>
              <w:t xml:space="preserve"> </w:t>
            </w:r>
            <w:r>
              <w:t xml:space="preserve">descrito en la sección”</w:t>
            </w:r>
            <w:r>
              <w:t xml:space="preserve">Descripción del servicio” de esta</w:t>
            </w:r>
            <w:r>
              <w:t xml:space="preserve"> </w:t>
            </w:r>
            <w:r>
              <w:t xml:space="preserve">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Templo seguro **: Designa el servicio calificado de SecnumCloud IaaS,</w:t>
            </w:r>
            <w:r>
              <w:t xml:space="preserve"> </w:t>
            </w:r>
            <w:r>
              <w:t xml:space="preserve">propuesto por el templo de la nube de la compañía, como se define en el certificado</w:t>
            </w:r>
            <w:r>
              <w:t xml:space="preserve"> </w:t>
            </w:r>
            <w:r>
              <w:t xml:space="preserve">Disponible en el sitio web de ANSSI y se proporciona en el Apéndice a este</w:t>
            </w:r>
            <w:r>
              <w:t xml:space="preserve"> </w:t>
            </w:r>
            <w:r>
              <w:t xml:space="preserve">Acuerdo de 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Sinister: ** Designa un evento serio de origen natural o</w:t>
            </w:r>
            <w:r>
              <w:t xml:space="preserve"> </w:t>
            </w:r>
            <w:r>
              <w:t xml:space="preserve">humano, accidental o intencional, causando pérdidas y</w:t>
            </w:r>
            <w:r>
              <w:t xml:space="preserve"> </w:t>
            </w:r>
            <w:r>
              <w:t xml:space="preserve">Daño significativo a la víctima.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Supervisión: ** Monitoreo de un sistema de información o</w:t>
            </w:r>
            <w:r>
              <w:t xml:space="preserve"> </w:t>
            </w:r>
            <w:r>
              <w:t xml:space="preserve">Servicio, que involucra la recopilación de varios datos, como medidas</w:t>
            </w:r>
            <w:r>
              <w:t xml:space="preserve"> </w:t>
            </w:r>
            <w:r>
              <w:t xml:space="preserve">y alarmas.Esta actividad se limita a la observación y el seguimiento, sin</w:t>
            </w:r>
            <w:r>
              <w:t xml:space="preserve"> </w:t>
            </w:r>
            <w:r>
              <w:t xml:space="preserve">intervenir directamente en los elementos monitoreados, una prerrogativa</w:t>
            </w:r>
            <w:r>
              <w:t xml:space="preserve"> </w:t>
            </w:r>
            <w:r>
              <w:t xml:space="preserve">que pertenece a las operaciones de administración.</w:t>
            </w:r>
            <w:r>
              <w:t xml:space="preserve"> </w:t>
            </w:r>
            <w:r>
              <w:t xml:space="preserve">- ** Holding: ** Una instancia aislada reservada para un usuario o grupo</w:t>
            </w:r>
            <w:r>
              <w:t xml:space="preserve"> </w:t>
            </w:r>
            <w:r>
              <w:t xml:space="preserve">usuarios, compartiendo una infraestructura común mientras</w:t>
            </w:r>
            <w:r>
              <w:t xml:space="preserve"> </w:t>
            </w:r>
            <w:r>
              <w:t xml:space="preserve">ahora independencia y seguridad de los datos y</w:t>
            </w:r>
            <w:r>
              <w:t xml:space="preserve"> </w:t>
            </w:r>
            <w:r>
              <w:t xml:space="preserve">Aplicaciones.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** Zona de disponibilidad (AZ) (zona de disponibilidad): ** Una sección</w:t>
            </w:r>
            <w:r>
              <w:t xml:space="preserve"> </w:t>
            </w:r>
            <w:r>
              <w:t xml:space="preserve">específico y aislado de la infraestructura de computación en la nube, diseñada</w:t>
            </w:r>
            <w:r>
              <w:t xml:space="preserve"> </w:t>
            </w:r>
            <w:r>
              <w:t xml:space="preserve">para garantizar la alta disponibilidad y resistencia de los servicios por</w:t>
            </w:r>
            <w:r>
              <w:t xml:space="preserve"> </w:t>
            </w:r>
            <w:r>
              <w:t xml:space="preserve">Una distribución geográfica de recursos.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4. Acrónimos</w:t>
            </w:r>
          </w:p>
        </w:tc>
      </w:tr>
    </w:tbl>
    <w:bookmarkStart w:id="20" w:name="acrónimo-definición"/>
    <w:p>
      <w:pPr>
        <w:pStyle w:val="Heading2"/>
      </w:pPr>
      <w:r>
        <w:t xml:space="preserve">** acrónimo ** ** Definición **</w:t>
      </w:r>
    </w:p>
    <w:p>
      <w:pPr>
        <w:pStyle w:val="FirstParagraph"/>
      </w:pPr>
      <w:r>
        <w:t xml:space="preserve">** CAB ** Junta Asesora de Cambio - Comité Asesor de</w:t>
      </w:r>
      <w:r>
        <w:t xml:space="preserve"> </w:t>
      </w:r>
      <w:r>
        <w:t xml:space="preserve">cambios</w:t>
      </w:r>
    </w:p>
    <w:p>
      <w:pPr>
        <w:pStyle w:val="BodyText"/>
      </w:pPr>
      <w:r>
        <w:t xml:space="preserve">** CMDB ** Base de datos de administración de configuración - Base de datos de</w:t>
      </w:r>
      <w:r>
        <w:t xml:space="preserve"> </w:t>
      </w:r>
      <w:r>
        <w:t xml:space="preserve">Gestión de configuración</w:t>
      </w:r>
    </w:p>
    <w:p>
      <w:pPr>
        <w:pStyle w:val="BodyText"/>
      </w:pPr>
      <w:r>
        <w:t xml:space="preserve">** Copil ** Comité directivo</w:t>
      </w:r>
    </w:p>
    <w:p>
      <w:pPr>
        <w:pStyle w:val="BodyText"/>
      </w:pPr>
      <w:r>
        <w:t xml:space="preserve">** Costrat ** Comité Estratégico</w:t>
      </w:r>
      <w:r>
        <w:t xml:space="preserve"> </w:t>
      </w:r>
      <w:r>
        <w:t xml:space="preserve">** COPROJ ** Comité del proyecto</w:t>
      </w:r>
    </w:p>
    <w:p>
      <w:pPr>
        <w:pStyle w:val="BodyText"/>
      </w:pPr>
      <w:r>
        <w:t xml:space="preserve">** DB ** Base de datos (base de datos)</w:t>
      </w:r>
    </w:p>
    <w:p>
      <w:pPr>
        <w:pStyle w:val="BodyText"/>
      </w:pPr>
      <w:r>
        <w:t xml:space="preserve">** DPA ** Acuerdo de protección de datos</w:t>
      </w:r>
    </w:p>
    <w:p>
      <w:pPr>
        <w:pStyle w:val="BodyText"/>
      </w:pPr>
      <w:r>
        <w:t xml:space="preserve">** DRP ** Plan de recuperación de desastres (PRA) (Plan de recuperación de actividades)</w:t>
      </w:r>
    </w:p>
    <w:p>
      <w:pPr>
        <w:pStyle w:val="BodyText"/>
      </w:pPr>
      <w:r>
        <w:t xml:space="preserve">** GTE ** Garantía de tiempo de escalada</w:t>
      </w:r>
    </w:p>
    <w:p>
      <w:pPr>
        <w:pStyle w:val="BodyText"/>
      </w:pPr>
      <w:r>
        <w:t xml:space="preserve">** GTI ** Garantía de tiempo de intervención</w:t>
      </w:r>
    </w:p>
    <w:p>
      <w:pPr>
        <w:pStyle w:val="BodyText"/>
      </w:pPr>
      <w:r>
        <w:t xml:space="preserve">** GTR ** Garantía de tiempo de resolución</w:t>
      </w:r>
    </w:p>
    <w:p>
      <w:pPr>
        <w:pStyle w:val="BodyText"/>
      </w:pPr>
      <w:r>
        <w:t xml:space="preserve">** ITIL ** Biblioteca de infraestructura de tecnología de la información - Bien</w:t>
      </w:r>
      <w:r>
        <w:t xml:space="preserve"> </w:t>
      </w:r>
      <w:r>
        <w:t xml:space="preserve">prácticas para la gestión de IS</w:t>
      </w:r>
      <w:r>
        <w:t xml:space="preserve"> </w:t>
      </w:r>
      <w:r>
        <w:t xml:space="preserve">** IaaS ** Infraestructura como servicio</w:t>
      </w:r>
    </w:p>
    <w:p>
      <w:pPr>
        <w:pStyle w:val="BodyText"/>
      </w:pPr>
      <w:r>
        <w:t xml:space="preserve">** MCO ** Mantener en condiciones operativas</w:t>
      </w:r>
    </w:p>
    <w:p>
      <w:pPr>
        <w:pStyle w:val="BodyText"/>
      </w:pPr>
      <w:r>
        <w:t xml:space="preserve">** Proyecto MOA **</w:t>
      </w:r>
    </w:p>
    <w:p>
      <w:pPr>
        <w:pStyle w:val="BodyText"/>
      </w:pPr>
      <w:r>
        <w:t xml:space="preserve">** MOE ** Control del proyecto</w:t>
      </w:r>
    </w:p>
    <w:p>
      <w:pPr>
        <w:pStyle w:val="BodyText"/>
      </w:pPr>
      <w:r>
        <w:t xml:space="preserve">** MSP ** Proveedor de servicios administrados</w:t>
      </w:r>
    </w:p>
    <w:p>
      <w:pPr>
        <w:pStyle w:val="BodyText"/>
      </w:pPr>
      <w:r>
        <w:t xml:space="preserve">** OS ** Sistema operativo (sistema operativo)</w:t>
      </w:r>
    </w:p>
    <w:p>
      <w:pPr>
        <w:pStyle w:val="BodyText"/>
      </w:pPr>
      <w:r>
        <w:t xml:space="preserve">** PAQ ** Plan de seguro de calidad</w:t>
      </w:r>
    </w:p>
    <w:p>
      <w:pPr>
        <w:pStyle w:val="BodyText"/>
      </w:pPr>
      <w:r>
        <w:t xml:space="preserve">** PAAS ** Plataforma como servicio</w:t>
      </w:r>
    </w:p>
    <w:p>
      <w:pPr>
        <w:pStyle w:val="BodyText"/>
      </w:pPr>
      <w:r>
        <w:t xml:space="preserve">** no ** Plan de seguro de seguridad</w:t>
      </w:r>
    </w:p>
    <w:p>
      <w:pPr>
        <w:pStyle w:val="BodyText"/>
      </w:pPr>
      <w:r>
        <w:t xml:space="preserve">** Passi ** Proveedor de auditoría de seguridad de sistemas de información</w:t>
      </w:r>
      <w:r>
        <w:t xml:space="preserve"> </w:t>
      </w:r>
      <w:r>
        <w:t xml:space="preserve">** RFC ** Solicitud de cambio - Solicitud de cambio</w:t>
      </w:r>
    </w:p>
    <w:p>
      <w:pPr>
        <w:pStyle w:val="BodyText"/>
      </w:pPr>
      <w:r>
        <w:t xml:space="preserve">** GDPR ** Regulación general de protección de datos (personal)</w:t>
      </w:r>
    </w:p>
    <w:p>
      <w:pPr>
        <w:pStyle w:val="BodyText"/>
      </w:pPr>
      <w:r>
        <w:t xml:space="preserve">** RPO ** Punto objetivo de recuperación - frescura de los datos restaurados</w:t>
      </w:r>
      <w:r>
        <w:t xml:space="preserve"> </w:t>
      </w:r>
      <w:r>
        <w:t xml:space="preserve">En caso de reclamo</w:t>
      </w:r>
    </w:p>
    <w:p>
      <w:pPr>
        <w:pStyle w:val="BodyText"/>
      </w:pPr>
      <w:r>
        <w:t xml:space="preserve">** RTO ** Objetivo de tiempo de recuperación: fecha límite para restablecer el servicio</w:t>
      </w:r>
      <w:r>
        <w:t xml:space="preserve"> </w:t>
      </w:r>
      <w:r>
        <w:t xml:space="preserve">En caso de reclamo</w:t>
      </w:r>
    </w:p>
    <w:p>
      <w:pPr>
        <w:pStyle w:val="BodyText"/>
      </w:pPr>
      <w:r>
        <w:t xml:space="preserve">** SDM ** Servicio de gerente de entrega</w:t>
      </w:r>
    </w:p>
    <w:p>
      <w:pPr>
        <w:pStyle w:val="BodyText"/>
      </w:pPr>
      <w:r>
        <w:t xml:space="preserve">** SLA ** Acuerdo de nivel de servicio - Acuerdo de nivel de servicio</w:t>
      </w:r>
      <w:r>
        <w:t xml:space="preserve"> </w:t>
      </w:r>
      <w:r>
        <w:t xml:space="preserve">** SNC ** Secnumcloud</w:t>
      </w:r>
    </w:p>
    <w:p>
      <w:pPr>
        <w:pStyle w:val="BodyText"/>
      </w:pPr>
      <w:r>
        <w:t xml:space="preserve">** SOC ** Centro de operación de seguridad</w:t>
      </w:r>
    </w:p>
    <w:p>
      <w:pPr>
        <w:pStyle w:val="BodyText"/>
      </w:pPr>
      <w:r>
        <w:t xml:space="preserve">** TMA ** Dapplicación de mantenimiento tierce</w:t>
      </w:r>
    </w:p>
    <w:p>
      <w:pPr>
        <w:pStyle w:val="BodyText"/>
      </w:pPr>
      <w:r>
        <w:t xml:space="preserve">** uo ** Unidad de trabajo</w:t>
      </w:r>
    </w:p>
    <w:p>
      <w:pPr>
        <w:pStyle w:val="BodyText"/>
      </w:pPr>
      <w:r>
        <w:t xml:space="preserve">** Vabe ** Validación de aptitud para una buena explotabilidad</w:t>
      </w:r>
    </w:p>
    <w:p>
      <w:pPr>
        <w:pStyle w:val="BodyText"/>
      </w:pPr>
      <w:r>
        <w:t xml:space="preserve">** Vabf ** Validación de aptitud para un funcionamiento adecuado</w:t>
      </w:r>
    </w:p>
    <w:p>
      <w:pPr>
        <w:pStyle w:val="BodyText"/>
      </w:pPr>
      <w:r>
        <w:t xml:space="preserve">** VM ** Máquina virtual (máquina virtual)</w:t>
      </w:r>
    </w:p>
    <w:bookmarkEnd w:id="20"/>
    <w:bookmarkStart w:id="21" w:name="vsr-validación-del-servicio-regular"/>
    <w:p>
      <w:pPr>
        <w:pStyle w:val="Heading2"/>
      </w:pPr>
      <w:r>
        <w:t xml:space="preserve">** VSR ** Validación del servicio regular</w:t>
      </w:r>
    </w:p>
    <w:bookmarkEnd w:id="21"/>
    <w:bookmarkEnd w:id="22"/>
    <w:bookmarkStart w:id="23" w:name="asunto-de-este-acuerdo-de-servicio"/>
    <w:p>
      <w:pPr>
        <w:pStyle w:val="Heading1"/>
      </w:pPr>
      <w:r>
        <w:t xml:space="preserve">5. Asunto de este acuerdo de servicio</w:t>
      </w:r>
    </w:p>
    <w:p>
      <w:pPr>
        <w:pStyle w:val="FirstParagraph"/>
      </w:pPr>
      <w:r>
        <w:t xml:space="preserve">Este acuerdo de servicio establece los términos y condiciones de acuerdo con</w:t>
      </w:r>
      <w:r>
        <w:t xml:space="preserve"> </w:t>
      </w:r>
      <w:r>
        <w:t xml:space="preserve">que el proveedor de servicios se compromete a emitir el servicio al patrocinador.</w:t>
      </w:r>
      <w:r>
        <w:t xml:space="preserve"> </w:t>
      </w:r>
      <w:r>
        <w:t xml:space="preserve">Su objeto es:</w:t>
      </w:r>
    </w:p>
    <w:p>
      <w:pPr>
        <w:numPr>
          <w:ilvl w:val="0"/>
          <w:numId w:val="1001"/>
        </w:numPr>
      </w:pPr>
      <w:r>
        <w:t xml:space="preserve">Especifique los requisitos de rendimiento esperados por el patrocinador</w:t>
      </w:r>
      <w:r>
        <w:t xml:space="preserve"> </w:t>
      </w:r>
      <w:r>
        <w:t xml:space="preserve">en términos de funcionalidad y confiabilidad del servicio;</w:t>
      </w:r>
    </w:p>
    <w:p>
      <w:pPr>
        <w:numPr>
          <w:ilvl w:val="0"/>
          <w:numId w:val="1001"/>
        </w:numPr>
      </w:pPr>
      <w:r>
        <w:t xml:space="preserve">Indique la provisión del proveedor para cumplir con los niveles</w:t>
      </w:r>
      <w:r>
        <w:t xml:space="preserve"> </w:t>
      </w:r>
      <w:r>
        <w:t xml:space="preserve">servicio acordado;</w:t>
      </w:r>
    </w:p>
    <w:p>
      <w:pPr>
        <w:numPr>
          <w:ilvl w:val="0"/>
          <w:numId w:val="1001"/>
        </w:numPr>
      </w:pPr>
      <w:r>
        <w:t xml:space="preserve">Identificar los estándares regulatorios aplicables específicamente a</w:t>
      </w:r>
      <w:r>
        <w:t xml:space="preserve"> </w:t>
      </w:r>
      <w:r>
        <w:t xml:space="preserve">Servicio emitido;</w:t>
      </w:r>
    </w:p>
    <w:p>
      <w:pPr>
        <w:numPr>
          <w:ilvl w:val="0"/>
          <w:numId w:val="1001"/>
        </w:numPr>
      </w:pPr>
      <w:r>
        <w:t xml:space="preserve">Asegurar la uniformidad y la integridad en la evaluación de la</w:t>
      </w:r>
      <w:r>
        <w:t xml:space="preserve"> </w:t>
      </w:r>
      <w:r>
        <w:t xml:space="preserve">calidad del servicio;</w:t>
      </w:r>
    </w:p>
    <w:p>
      <w:pPr>
        <w:numPr>
          <w:ilvl w:val="0"/>
          <w:numId w:val="1001"/>
        </w:numPr>
      </w:pPr>
      <w:r>
        <w:t xml:space="preserve">garantizar la excelencia de los servicios prestados, evaluados por los medios</w:t>
      </w:r>
      <w:r>
        <w:t xml:space="preserve"> </w:t>
      </w:r>
      <w:r>
        <w:t xml:space="preserve">Indicadores de rendimiento cuantitativos.</w:t>
      </w:r>
    </w:p>
    <w:p>
      <w:pPr>
        <w:pStyle w:val="FirstParagraph"/>
      </w:pPr>
      <w:r>
        <w:t xml:space="preserve">Se estipula que, en caso de que el proveedor se vea a sí mismo</w:t>
      </w:r>
      <w:r>
        <w:t xml:space="preserve"> </w:t>
      </w:r>
      <w:r>
        <w:t xml:space="preserve">Retirar su calificación de SecnumCloud, el contrato puede finalizarse</w:t>
      </w:r>
      <w:r>
        <w:t xml:space="preserve"> </w:t>
      </w:r>
      <w:r>
        <w:t xml:space="preserve">Correcto, sin incurrir en sanciones, por el patrocinador.En</w:t>
      </w:r>
      <w:r>
        <w:t xml:space="preserve"> </w:t>
      </w:r>
      <w:r>
        <w:t xml:space="preserve">como la posibilidad, el proveedor de servicios se compromete a informar al patrocinador</w:t>
      </w:r>
      <w:r>
        <w:t xml:space="preserve"> </w:t>
      </w:r>
      <w:r>
        <w:t xml:space="preserve">de esta descalificación enviando una notificación oficial, al</w:t>
      </w:r>
      <w:r>
        <w:t xml:space="preserve"> </w:t>
      </w:r>
      <w:r>
        <w:t xml:space="preserve">Medios de una carta registrada con solicitud de reconocimiento de recibo.</w:t>
      </w:r>
    </w:p>
    <w:p>
      <w:pPr>
        <w:pStyle w:val="BodyText"/>
      </w:pPr>
      <w:r>
        <w:t xml:space="preserve">Cabe señalar que una modificación o ajuste del</w:t>
      </w:r>
      <w:r>
        <w:t xml:space="preserve"> </w:t>
      </w:r>
      <w:r>
        <w:t xml:space="preserve">calificación SecnumCloud no se interpretará como una revocación de</w:t>
      </w:r>
      <w:r>
        <w:t xml:space="preserve"> </w:t>
      </w:r>
      <w:r>
        <w:t xml:space="preserve">Calificación inicial.</w:t>
      </w:r>
    </w:p>
    <w:bookmarkEnd w:id="23"/>
    <w:bookmarkStart w:id="24" w:name="auditoría"/>
    <w:p>
      <w:pPr>
        <w:pStyle w:val="Heading1"/>
      </w:pPr>
      <w:r>
        <w:t xml:space="preserve">6. Auditoría</w:t>
      </w:r>
    </w:p>
    <w:p>
      <w:pPr>
        <w:pStyle w:val="FirstParagraph"/>
      </w:pPr>
      <w:r>
        <w:t xml:space="preserve">El proveedor de servicios se compromete a permitir que el patrocinador o cualquier oyente</w:t>
      </w:r>
      <w:r>
        <w:t xml:space="preserve"> </w:t>
      </w:r>
      <w:r>
        <w:t xml:space="preserve">terceros y no competidores del proveedor de servicios que este último habría designado, de</w:t>
      </w:r>
      <w:r>
        <w:t xml:space="preserve"> </w:t>
      </w:r>
      <w:r>
        <w:t xml:space="preserve">consulte todos los documentos necesarios para el certificado de</w:t>
      </w:r>
      <w:r>
        <w:t xml:space="preserve"> </w:t>
      </w:r>
      <w:r>
        <w:t xml:space="preserve">Cumplimiento total de las obligaciones relacionadas con el cumplimiento de</w:t>
      </w:r>
      <w:r>
        <w:t xml:space="preserve"> </w:t>
      </w:r>
      <w:r>
        <w:t xml:space="preserve">disposiciones del artículo 28 de las regulaciones generales sobre la protección de</w:t>
      </w:r>
      <w:r>
        <w:t xml:space="preserve"> </w:t>
      </w:r>
      <w:r>
        <w:t xml:space="preserve">Datos (GDPR), facilitando así la producción de auditorías.</w:t>
      </w:r>
    </w:p>
    <w:p>
      <w:pPr>
        <w:pStyle w:val="BodyText"/>
      </w:pPr>
      <w:r>
        <w:t xml:space="preserve">Mediante la aceptación de este acuerdo de servicio, el patrocinador</w:t>
      </w:r>
      <w:r>
        <w:t xml:space="preserve"> </w:t>
      </w:r>
      <w:r>
        <w:t xml:space="preserve">confiere su autorización explícita a:</w:t>
      </w:r>
      <w:r>
        <w:t xml:space="preserve"> </w:t>
      </w:r>
      <w:r>
        <w:t xml:space="preserve">1. La Agencia Nacional de Sistemas de Información (ANSSI)</w:t>
      </w:r>
      <w:r>
        <w:t xml:space="preserve"> </w:t>
      </w:r>
      <w:r>
        <w:t xml:space="preserve">así como la entidad de calificación competente para emprender el</w:t>
      </w:r>
      <w:r>
        <w:t xml:space="preserve"> </w:t>
      </w:r>
      <w:r>
        <w:t xml:space="preserve">Verificación del cumplimiento del servicio y su sistema</w:t>
      </w:r>
      <w:r>
        <w:t xml:space="preserve"> </w:t>
      </w:r>
      <w:r>
        <w:t xml:space="preserve">Información en el estándar SecnumCloud.</w:t>
      </w:r>
      <w:r>
        <w:t xml:space="preserve"> </w:t>
      </w:r>
      <w:r>
        <w:t xml:space="preserve">2. Un proveedor de auditoría de seguridad de sistemas de información,</w:t>
      </w:r>
      <w:r>
        <w:t xml:space="preserve"> </w:t>
      </w:r>
      <w:r>
        <w:t xml:space="preserve">passi debidamente calificado y expresamente designado por el proveedor de servicios,</w:t>
      </w:r>
      <w:r>
        <w:t xml:space="preserve"> </w:t>
      </w:r>
      <w:r>
        <w:t xml:space="preserve">Para llevar a cabo auditorías de seguridad relacionadas con el servicio.</w:t>
      </w:r>
    </w:p>
    <w:bookmarkEnd w:id="24"/>
    <w:bookmarkStart w:id="48" w:name="descripción-del-servicio"/>
    <w:p>
      <w:pPr>
        <w:pStyle w:val="Heading1"/>
      </w:pPr>
      <w:r>
        <w:t xml:space="preserve">7. Descripción del servicio</w:t>
      </w:r>
    </w:p>
    <w:bookmarkStart w:id="25" w:name="modelo-de-responsabilidad-compartida"/>
    <w:p>
      <w:pPr>
        <w:pStyle w:val="Heading2"/>
      </w:pPr>
      <w:r>
        <w:t xml:space="preserve">7.1.Modelo de responsabilidad compartida</w:t>
      </w:r>
    </w:p>
    <w:p>
      <w:pPr>
        <w:pStyle w:val="FirstParagraph"/>
      </w:pPr>
      <w:r>
        <w:t xml:space="preserve">El servicio ofrecido por el proveedor de servicios se caracteriza por el</w:t>
      </w:r>
      <w:r>
        <w:t xml:space="preserve"> </w:t>
      </w:r>
      <w:r>
        <w:t xml:space="preserve">provisión de los siguientes servicios, que se alinean con</w:t>
      </w:r>
      <w:r>
        <w:t xml:space="preserve"> </w:t>
      </w:r>
      <w:r>
        <w:t xml:space="preserve">Principio de responsabilidad compartida presentada en el repositorio</w:t>
      </w:r>
      <w:r>
        <w:t xml:space="preserve"> </w:t>
      </w:r>
      <w:r>
        <w:t xml:space="preserve">Secnumcloud:</w:t>
      </w:r>
    </w:p>
    <w:p>
      <w:pPr>
        <w:numPr>
          <w:ilvl w:val="0"/>
          <w:numId w:val="1002"/>
        </w:numPr>
      </w:pPr>
      <w:r>
        <w:t xml:space="preserve">provisión de recursos de cálculo (cálculo);</w:t>
      </w:r>
    </w:p>
    <w:p>
      <w:pPr>
        <w:numPr>
          <w:ilvl w:val="0"/>
          <w:numId w:val="1002"/>
        </w:numPr>
      </w:pPr>
      <w:r>
        <w:t xml:space="preserve">la provisión de espacios de almacenamiento;</w:t>
      </w:r>
    </w:p>
    <w:p>
      <w:pPr>
        <w:numPr>
          <w:ilvl w:val="0"/>
          <w:numId w:val="1002"/>
        </w:numPr>
      </w:pPr>
      <w:r>
        <w:t xml:space="preserve">Acceso a la conectividad de red y los servicios de Internet;</w:t>
      </w:r>
    </w:p>
    <w:p>
      <w:pPr>
        <w:numPr>
          <w:ilvl w:val="0"/>
          <w:numId w:val="1002"/>
        </w:numPr>
      </w:pPr>
      <w:r>
        <w:t xml:space="preserve">La oferta de un servicio de respaldo dedicado a máquinas virtuales.</w:t>
      </w:r>
      <w:r>
        <w:t xml:space="preserve"> </w:t>
      </w:r>
      <w:r>
        <w:t xml:space="preserve">El modelo de responsabilidad compartida aplicada entre el proveedor y el</w:t>
      </w:r>
      <w:r>
        <w:t xml:space="preserve"> </w:t>
      </w:r>
      <w:r>
        <w:t xml:space="preserve">El patrocinador dentro del marco del servicio se presenta en §7.1.</w:t>
      </w:r>
    </w:p>
    <w:p>
      <w:pPr>
        <w:pStyle w:val="FirstParagraph"/>
      </w:pPr>
      <w:r>
        <w:t xml:space="preserve">Se entiende que el proveedor de servicios movilizará su experiencia para lograr</w:t>
      </w:r>
      <w:r>
        <w:t xml:space="preserve"> </w:t>
      </w:r>
      <w:r>
        <w:t xml:space="preserve">beneficios según las mejores prácticas profesionales y</w:t>
      </w:r>
      <w:r>
        <w:t xml:space="preserve"> </w:t>
      </w:r>
      <w:r>
        <w:t xml:space="preserve">De acuerdo con los requisitos del estándar SecnumCloud.</w:t>
      </w:r>
    </w:p>
    <w:bookmarkEnd w:id="25"/>
    <w:bookmarkStart w:id="32" w:name="Xc2d7af6dcb82a37a5102c9f7e9987b4befb8be3"/>
    <w:p>
      <w:pPr>
        <w:pStyle w:val="Heading2"/>
      </w:pPr>
      <w:r>
        <w:t xml:space="preserve">7.2.Presentación detallada del perímetro de servicio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70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Calcular el recurso informático para el patrocinador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 de producción de almacenamiento de la limpieza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Provisión de almacenamiento de objetos de infraestructura de almacenamiento de objetos</w:t>
            </w:r>
            <w:r>
              <w:t xml:space="preserve"> </w:t>
            </w:r>
            <w:r>
              <w:t xml:space="preserve">S3 soberano multi AZ y compatible con API estándar S3.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Subscripción de respaldo de Modulo al almacenamiento masivo apropiado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recursos de red del patrocinador</w:t>
            </w:r>
            <w:r>
              <w:t xml:space="preserve"> </w:t>
            </w: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Consolas el servicio que permite al patrocinador acceder a su</w:t>
            </w:r>
            <w:r>
              <w:t xml:space="preserve"> </w:t>
            </w:r>
            <w:r>
              <w:t xml:space="preserve">Servicio del patrocinador de IaaS y administrarlo a través de la interfaz Shiva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Apoya el servicio de soporte que acompaña a los servicios anteriores</w:t>
            </w:r>
            <w:r>
              <w:t xml:space="preserve"> </w:t>
            </w:r>
            <w:r>
              <w:t xml:space="preserve">y solo estos (*)</w:t>
            </w:r>
          </w:p>
        </w:tc>
      </w:tr>
    </w:tbl>
    <w:p>
      <w:pPr>
        <w:pStyle w:val="BodyText"/>
      </w:pPr>
      <w:r>
        <w:t xml:space="preserve"> _ (*) Dentro de los límites del perímetro del servicio calificado de SNC y</w:t>
      </w:r>
      <w:r>
        <w:t xml:space="preserve"> </w:t>
      </w:r>
      <w:r>
        <w:t xml:space="preserve">responsabilidades del proveedor de servicios en el asunto  _</w:t>
      </w:r>
      <w:r>
        <w:t xml:space="preserve"> </w:t>
      </w:r>
      <w:r>
        <w:t xml:space="preserve">### 7.2.1.Infraestructura de los centros de datos</w:t>
      </w:r>
    </w:p>
    <w:p>
      <w:pPr>
        <w:pStyle w:val="BodyText"/>
      </w:pPr>
      <w:r>
        <w:t xml:space="preserve">El servicio incluye la disposición, para cada área de</w:t>
      </w:r>
      <w:r>
        <w:t xml:space="preserve"> </w:t>
      </w:r>
      <w:r>
        <w:t xml:space="preserve">disponibilidad, servicios calificados a continuación:</w:t>
      </w:r>
    </w:p>
    <w:p>
      <w:pPr>
        <w:pStyle w:val="Compact"/>
        <w:numPr>
          <w:ilvl w:val="0"/>
          <w:numId w:val="1003"/>
        </w:numPr>
      </w:pPr>
      <w:r>
        <w:t xml:space="preserve">Sitio de centro de datos ubicado en Francia para la región FR, de acuerdo con</w:t>
      </w:r>
      <w:r>
        <w:t xml:space="preserve"> </w:t>
      </w:r>
      <w:r>
        <w:t xml:space="preserve">Últimos estándares tecnológicos, ofreciendo un nivel de</w:t>
      </w:r>
      <w:r>
        <w:t xml:space="preserve"> </w:t>
      </w:r>
      <w:r>
        <w:t xml:space="preserve">Resiliencia equivalente o superior al nivel de nivel 3 del tiempo de actividad</w:t>
      </w:r>
      <w:r>
        <w:t xml:space="preserve"> </w:t>
      </w:r>
      <w:r>
        <w:t xml:space="preserve">Instituto;</w:t>
      </w:r>
    </w:p>
    <w:p>
      <w:pPr>
        <w:pStyle w:val="Compact"/>
        <w:numPr>
          <w:ilvl w:val="0"/>
          <w:numId w:val="1003"/>
        </w:numPr>
      </w:pPr>
      <w:r>
        <w:t xml:space="preserve">provisión de habitaciones técnicas dentro de centros de datos dedicados</w:t>
      </w:r>
      <w:r>
        <w:t xml:space="preserve"> </w:t>
      </w:r>
      <w:r>
        <w:t xml:space="preserve">en la recepción de equipos técnicos esenciales para la producción</w:t>
      </w:r>
      <w:r>
        <w:t xml:space="preserve"> </w:t>
      </w:r>
      <w:r>
        <w:t xml:space="preserve">servicio, que incluye cálculo, almacenamiento, red, cableado y otros</w:t>
      </w:r>
      <w:r>
        <w:t xml:space="preserve"> </w:t>
      </w:r>
      <w:r>
        <w:t xml:space="preserve">componentes necesarios;</w:t>
      </w:r>
    </w:p>
    <w:p>
      <w:pPr>
        <w:pStyle w:val="Compact"/>
        <w:numPr>
          <w:ilvl w:val="0"/>
          <w:numId w:val="1003"/>
        </w:numPr>
      </w:pPr>
      <w:r>
        <w:t xml:space="preserve">Fuente de energía segura, proporcionada por dos circuitos</w:t>
      </w:r>
      <w:r>
        <w:t xml:space="preserve"> </w:t>
      </w:r>
      <w:r>
        <w:t xml:space="preserve">electricidad separada, garantizando la continuidad del servicio;</w:t>
      </w:r>
    </w:p>
    <w:p>
      <w:pPr>
        <w:pStyle w:val="Compact"/>
        <w:numPr>
          <w:ilvl w:val="0"/>
          <w:numId w:val="1003"/>
        </w:numPr>
      </w:pPr>
      <w:r>
        <w:t xml:space="preserve">Suministro de servicios de aire acondicionado, ajustado para cumplir con</w:t>
      </w:r>
      <w:r>
        <w:t xml:space="preserve"> </w:t>
      </w:r>
      <w:r>
        <w:t xml:space="preserve">estándares y recomendaciones para fabricantes de equipos, para</w:t>
      </w:r>
      <w:r>
        <w:t xml:space="preserve"> </w:t>
      </w:r>
      <w:r>
        <w:t xml:space="preserve">maintenir un environnement optimal pour les dispositifs techniques ;</w:t>
      </w:r>
    </w:p>
    <w:p>
      <w:pPr>
        <w:pStyle w:val="Compact"/>
        <w:numPr>
          <w:ilvl w:val="0"/>
          <w:numId w:val="1003"/>
        </w:numPr>
      </w:pPr>
      <w:r>
        <w:t xml:space="preserve">Supervision continue et métrologie détaillée, permettant un suivi</w:t>
      </w:r>
      <w:r>
        <w:t xml:space="preserve"> </w:t>
      </w:r>
      <w:r>
        <w:t xml:space="preserve">précis et une gestion proactive des performances et de la sécurité du</w:t>
      </w:r>
      <w:r>
        <w:t xml:space="preserve"> </w:t>
      </w:r>
      <w:r>
        <w:t xml:space="preserve">service fourni.</w:t>
      </w:r>
    </w:p>
    <w:p>
      <w:pPr>
        <w:pStyle w:val="FirstParagraph"/>
      </w:pPr>
      <w:r>
        <w:t xml:space="preserve">Le Prestataire assure la mise à disposition de services avancés de</w:t>
      </w:r>
      <w:r>
        <w:t xml:space="preserve"> </w:t>
      </w:r>
      <w:r>
        <w:t xml:space="preserve">détection et d’extinction d’incendie, conçus pour identifier et</w:t>
      </w:r>
      <w:r>
        <w:t xml:space="preserve"> </w:t>
      </w:r>
      <w:r>
        <w:t xml:space="preserve">neutraliser efficacement tout départ de feu au sein des installations.</w:t>
      </w:r>
      <w:r>
        <w:t xml:space="preserve"> </w:t>
      </w:r>
      <w:r>
        <w:t xml:space="preserve">Estos sistemas son esenciales para garantizar la seguridad del equipo.</w:t>
      </w:r>
      <w:r>
        <w:t xml:space="preserve"> </w:t>
      </w:r>
      <w:r>
        <w:t xml:space="preserve">y datos.Incluyen detectores de humo altos</w:t>
      </w:r>
      <w:r>
        <w:t xml:space="preserve"> </w:t>
      </w:r>
      <w:r>
        <w:t xml:space="preserve">Dispositivos de precisión y extinción que pueden actuar rápidamente</w:t>
      </w:r>
      <w:r>
        <w:t xml:space="preserve"> </w:t>
      </w:r>
      <w:r>
        <w:t xml:space="preserve">sin dañar el equipo informático.Este servicio es crucial para</w:t>
      </w:r>
      <w:r>
        <w:t xml:space="preserve"> </w:t>
      </w:r>
      <w:r>
        <w:t xml:space="preserve">prevenir los riesgos de incendio, minimizar el daño potencial y</w:t>
      </w:r>
      <w:r>
        <w:t xml:space="preserve"> </w:t>
      </w:r>
      <w:r>
        <w:t xml:space="preserve">Asegurar la continuidad de las operaciones.</w:t>
      </w:r>
    </w:p>
    <w:p>
      <w:pPr>
        <w:pStyle w:val="BodyText"/>
      </w:pPr>
      <w:r>
        <w:t xml:space="preserve">Se informa al patrocinador que todos los procedimientos y medidas de</w:t>
      </w:r>
      <w:r>
        <w:t xml:space="preserve"> </w:t>
      </w:r>
      <w:r>
        <w:t xml:space="preserve">Seguridad implementada, incluidas las pruebas de conmutación anuales en</w:t>
      </w:r>
      <w:r>
        <w:t xml:space="preserve"> </w:t>
      </w:r>
      <w:r>
        <w:t xml:space="preserve">Los generadores son esenciales para garantizar la continuidad</w:t>
      </w:r>
      <w:r>
        <w:t xml:space="preserve"> </w:t>
      </w:r>
      <w:r>
        <w:t xml:space="preserve">y la integridad de los servicios proporcionados.Estas prácticas están diseñadas para</w:t>
      </w:r>
      <w:r>
        <w:t xml:space="preserve"> </w:t>
      </w:r>
      <w:r>
        <w:t xml:space="preserve">Minimizar el riesgo de falla y garantizar una capacidad de respuesta óptima en el evento</w:t>
      </w:r>
      <w:r>
        <w:t xml:space="preserve"> </w:t>
      </w:r>
      <w:r>
        <w:t xml:space="preserve">incidente.Al aceptar estas condiciones, el patrocinador reconoce</w:t>
      </w:r>
      <w:r>
        <w:t xml:space="preserve"> </w:t>
      </w:r>
      <w:r>
        <w:t xml:space="preserve">la importancia de estas medidas y se compromete a cooperar completamente para</w:t>
      </w:r>
      <w:r>
        <w:t xml:space="preserve"> </w:t>
      </w:r>
      <w:r>
        <w:t xml:space="preserve">facilitar su implementación.Al patrocinador también se alienta a</w:t>
      </w:r>
      <w:r>
        <w:t xml:space="preserve"> </w:t>
      </w:r>
      <w:r>
        <w:t xml:space="preserve">Lea las recomendaciones de seguridad proporcionadas y para</w:t>
      </w:r>
      <w:r>
        <w:t xml:space="preserve"> </w:t>
      </w:r>
      <w:r>
        <w:t xml:space="preserve">Integrarse en su propia estrategia de gestión de riesgos.</w:t>
      </w:r>
    </w:p>
    <w:bookmarkStart w:id="26" w:name="X0bb80ff3e24bd235a4733aeba274472973645de"/>
    <w:p>
      <w:pPr>
        <w:pStyle w:val="Heading3"/>
      </w:pPr>
      <w:r>
        <w:t xml:space="preserve">7.2.2.Infraestructura de software de gestión de servicios</w:t>
      </w:r>
    </w:p>
    <w:p>
      <w:pPr>
        <w:pStyle w:val="FirstParagraph"/>
      </w:pPr>
      <w:r>
        <w:t xml:space="preserve">El proveedor de servicios proporciona al patrocinador la consola de administración y</w:t>
      </w:r>
      <w:r>
        <w:t xml:space="preserve"> </w:t>
      </w:r>
      <w:r>
        <w:t xml:space="preserve">La API necesaria para el uso del servicio.El también se compromete a</w:t>
      </w:r>
      <w:r>
        <w:t xml:space="preserve"> </w:t>
      </w:r>
      <w:r>
        <w:t xml:space="preserve">mantener esta consola de administración y la API en condición</w:t>
      </w:r>
      <w:r>
        <w:t xml:space="preserve"> </w:t>
      </w:r>
      <w:r>
        <w:t xml:space="preserve">operacional óptimo y para garantizar su seguridad continuamente.</w:t>
      </w:r>
      <w:r>
        <w:t xml:space="preserve"> </w:t>
      </w:r>
      <w:r>
        <w:t xml:space="preserve">Esta consola de administración y la API se designan de alguna manera</w:t>
      </w:r>
      <w:r>
        <w:t xml:space="preserve"> </w:t>
      </w:r>
      <w:r>
        <w:t xml:space="preserve">agrupado bajo el término</w:t>
      </w:r>
      <w:r>
        <w:t xml:space="preserve"> </w:t>
      </w:r>
      <w:r>
        <w:t xml:space="preserve">“interfaz de patrocinador”</w:t>
      </w:r>
      <w:r>
        <w:t xml:space="preserve">.</w:t>
      </w:r>
    </w:p>
    <w:p>
      <w:pPr>
        <w:pStyle w:val="BodyText"/>
      </w:pPr>
      <w:r>
        <w:t xml:space="preserve">El proveedor de servicios alerta al patrocinador sobre el hecho de que un uso</w:t>
      </w:r>
      <w:r>
        <w:t xml:space="preserve"> </w:t>
      </w:r>
      <w:r>
        <w:t xml:space="preserve">anormal de la interfaz del patrocinador, en particular en caso de una sobrecarga de</w:t>
      </w:r>
      <w:r>
        <w:t xml:space="preserve"> </w:t>
      </w:r>
      <w:r>
        <w:t xml:space="preserve">sus apis de comando (martillo) pueden activar medidas de</w:t>
      </w:r>
      <w:r>
        <w:t xml:space="preserve"> </w:t>
      </w:r>
      <w:r>
        <w:t xml:space="preserve">Seguridad automática que resulta en bloquear el acceso a</w:t>
      </w:r>
      <w:r>
        <w:t xml:space="preserve"> </w:t>
      </w:r>
      <w:r>
        <w:t xml:space="preserve">pedido o servicio.Cabe señalar que esta situación no</w:t>
      </w:r>
      <w:r>
        <w:t xml:space="preserve"> </w:t>
      </w:r>
      <w:r>
        <w:t xml:space="preserve">constituye la falta de disponibilidad del servicio pero una acción de</w:t>
      </w:r>
      <w:r>
        <w:t xml:space="preserve"> </w:t>
      </w:r>
      <w:r>
        <w:t xml:space="preserve">Protección del servicio e infraestructura del proveedor de servicios;por</w:t>
      </w:r>
      <w:r>
        <w:t xml:space="preserve"> </w:t>
      </w:r>
      <w:r>
        <w:t xml:space="preserve">En consecuencia, el patrocinador no puede considerarlo como un</w:t>
      </w:r>
      <w:r>
        <w:t xml:space="preserve"> </w:t>
      </w:r>
      <w:r>
        <w:t xml:space="preserve">no disponible en sus cálculos.</w:t>
      </w:r>
    </w:p>
    <w:p>
      <w:pPr>
        <w:pStyle w:val="BodyText"/>
      </w:pPr>
      <w:r>
        <w:t xml:space="preserve">Además, el proveedor de servicios especifica al patrocinador que solicita</w:t>
      </w:r>
      <w:r>
        <w:t xml:space="preserve"> </w:t>
      </w:r>
      <w:r>
        <w:t xml:space="preserve">perfectamente idéntico (duplicados) enviados a sus API se limitan a</w:t>
      </w:r>
      <w:r>
        <w:t xml:space="preserve"> </w:t>
      </w:r>
      <w:r>
        <w:t xml:space="preserve">Uno por segundo (acelerador).Si el patrocinador envía solicitudes</w:t>
      </w:r>
      <w:r>
        <w:t xml:space="preserve"> </w:t>
      </w:r>
      <w:r>
        <w:t xml:space="preserve">idéntico a una frecuencia más alta, su rechazo no puede ser</w:t>
      </w:r>
      <w:r>
        <w:t xml:space="preserve"> </w:t>
      </w:r>
      <w:r>
        <w:t xml:space="preserve">interprété comme une indisponibilité du Service.</w:t>
      </w:r>
    </w:p>
    <w:bookmarkEnd w:id="26"/>
    <w:bookmarkStart w:id="27" w:name="infrastructures-de-calcul"/>
    <w:p>
      <w:pPr>
        <w:pStyle w:val="Heading3"/>
      </w:pPr>
      <w:r>
        <w:t xml:space="preserve">7.2.3. Infrastructures de calcul</w:t>
      </w:r>
    </w:p>
    <w:p>
      <w:pPr>
        <w:pStyle w:val="FirstParagraph"/>
      </w:pPr>
      <w:r>
        <w:t xml:space="preserve">Le Service inclut la fourniture, dans les zones de disponibilité</w:t>
      </w:r>
      <w:r>
        <w:t xml:space="preserve"> </w:t>
      </w:r>
      <w:r>
        <w:t xml:space="preserve">souscrites par le COMMANDITAIRE, des équipements nécessaires à</w:t>
      </w:r>
      <w:r>
        <w:t xml:space="preserve"> </w:t>
      </w:r>
      <w:r>
        <w:t xml:space="preserve">l’exécution des charges de travail sous forme de machines virtuelles.</w:t>
      </w:r>
    </w:p>
    <w:p>
      <w:pPr>
        <w:pStyle w:val="BodyText"/>
      </w:pPr>
      <w:r>
        <w:t xml:space="preserve">Ceci comprend :</w:t>
      </w:r>
    </w:p>
    <w:p>
      <w:pPr>
        <w:pStyle w:val="Compact"/>
        <w:numPr>
          <w:ilvl w:val="0"/>
          <w:numId w:val="1004"/>
        </w:numPr>
      </w:pPr>
      <w:r>
        <w:t xml:space="preserve">La fourniture des chassis techniques nécessaires au bon fonctionnement</w:t>
      </w:r>
      <w:r>
        <w:t xml:space="preserve"> </w:t>
      </w:r>
      <w:r>
        <w:t xml:space="preserve">des lames de calcul ;</w:t>
      </w:r>
    </w:p>
    <w:p>
      <w:pPr>
        <w:pStyle w:val="Compact"/>
        <w:numPr>
          <w:ilvl w:val="0"/>
          <w:numId w:val="1004"/>
        </w:numPr>
      </w:pPr>
      <w:r>
        <w:t xml:space="preserve">La fourniture des lames de calcul dans les quantités spécifiées par le</w:t>
      </w:r>
      <w:r>
        <w:t xml:space="preserve"> </w:t>
      </w:r>
      <w:r>
        <w:t xml:space="preserve">Patrocinador y distribuido según las zonas de disponibilidad de su</w:t>
      </w:r>
      <w:r>
        <w:t xml:space="preserve"> </w:t>
      </w:r>
      <w:r>
        <w:t xml:space="preserve">elección.Cabe señalar que estas cuchillas de cálculo son exclusivamente</w:t>
      </w:r>
      <w:r>
        <w:t xml:space="preserve"> </w:t>
      </w:r>
      <w:r>
        <w:t xml:space="preserve">dedicado al patrocinador;</w:t>
      </w:r>
    </w:p>
    <w:p>
      <w:pPr>
        <w:pStyle w:val="Compact"/>
        <w:numPr>
          <w:ilvl w:val="0"/>
          <w:numId w:val="1004"/>
        </w:numPr>
      </w:pPr>
      <w:r>
        <w:t xml:space="preserve">La provisión de sistemas operativos tipo hipervisor,</w:t>
      </w:r>
      <w:r>
        <w:t xml:space="preserve"> </w:t>
      </w:r>
      <w:r>
        <w:t xml:space="preserve">así como la garantía de mantener la condición operativa y</w:t>
      </w:r>
      <w:r>
        <w:t xml:space="preserve"> </w:t>
      </w:r>
      <w:r>
        <w:t xml:space="preserve">seguridad de la infraestructura de software necesaria para pilotar estos</w:t>
      </w:r>
      <w:r>
        <w:t xml:space="preserve"> </w:t>
      </w:r>
      <w:r>
        <w:t xml:space="preserve">sistemas operativos.Debe resaltarse que incluso</w:t>
      </w:r>
      <w:r>
        <w:t xml:space="preserve"> </w:t>
      </w:r>
      <w:r>
        <w:t xml:space="preserve">si le Prestataire est responsable de la maintenance opérationnelle et</w:t>
      </w:r>
      <w:r>
        <w:t xml:space="preserve"> </w:t>
      </w:r>
      <w:r>
        <w:t xml:space="preserve">de la sécurisation globale du Service, il ne détient pas de</w:t>
      </w:r>
      <w:r>
        <w:t xml:space="preserve"> </w:t>
      </w:r>
      <w:r>
        <w:t xml:space="preserve">connaissances spécifiques concernant les environnements de production</w:t>
      </w:r>
      <w:r>
        <w:t xml:space="preserve"> </w:t>
      </w:r>
      <w:r>
        <w:t xml:space="preserve">du COMMANDITAIRE ni des exigences liées à ses charges de travail. Par</w:t>
      </w:r>
      <w:r>
        <w:t xml:space="preserve"> </w:t>
      </w:r>
      <w:r>
        <w:t xml:space="preserve">conséquent, la responsabilité de décider de la mise à jour des</w:t>
      </w:r>
      <w:r>
        <w:t xml:space="preserve"> </w:t>
      </w:r>
      <w:r>
        <w:t xml:space="preserve">systèmes d’exploitation des lames de calcul hyperviseurs, une action</w:t>
      </w:r>
      <w:r>
        <w:t xml:space="preserve"> </w:t>
      </w:r>
      <w:r>
        <w:t xml:space="preserve">susceptible de nécessiter un redémarrage, repose entièrement sur le</w:t>
      </w:r>
      <w:r>
        <w:t xml:space="preserve"> </w:t>
      </w:r>
      <w:r>
        <w:t xml:space="preserve">Patrocinador.Esta operación se puede llevar a cabo a través de la interfaz</w:t>
      </w:r>
      <w:r>
        <w:t xml:space="preserve"> </w:t>
      </w:r>
      <w:r>
        <w:t xml:space="preserve">Patrocinador.</w:t>
      </w:r>
    </w:p>
    <w:p>
      <w:pPr>
        <w:pStyle w:val="FirstParagraph"/>
      </w:pPr>
      <w:r>
        <w:t xml:space="preserve">La elección del modelo de cuchilla de cálculo, seleccionada del catálogo</w:t>
      </w:r>
      <w:r>
        <w:t xml:space="preserve"> </w:t>
      </w:r>
      <w:r>
        <w:t xml:space="preserve">propuesto por el proveedor de servicios, es responsabilidad del</w:t>
      </w:r>
      <w:r>
        <w:t xml:space="preserve"> </w:t>
      </w:r>
      <w:r>
        <w:t xml:space="preserve">Patrocinador.</w:t>
      </w:r>
    </w:p>
    <w:bookmarkEnd w:id="27"/>
    <w:bookmarkStart w:id="28" w:name="infraestructura-de-almacenamiento"/>
    <w:p>
      <w:pPr>
        <w:pStyle w:val="Heading3"/>
      </w:pPr>
      <w:r>
        <w:t xml:space="preserve">7.2.4.Infraestructura de almacenamiento</w:t>
      </w:r>
    </w:p>
    <w:p>
      <w:pPr>
        <w:pStyle w:val="FirstParagraph"/>
      </w:pPr>
      <w:r>
        <w:t xml:space="preserve">El servicio incluye el suministro al patrocinador de una infraestructura</w:t>
      </w:r>
      <w:r>
        <w:t xml:space="preserve"> </w:t>
      </w:r>
      <w:r>
        <w:t xml:space="preserve">Almacenamiento compartido de SAN Tipo (red de área de almacenamiento), ofreciendo varios</w:t>
      </w:r>
      <w:r>
        <w:t xml:space="preserve"> </w:t>
      </w:r>
      <w:r>
        <w:t xml:space="preserve">niveles de rendimiento.Este servicio incluye:</w:t>
      </w:r>
      <w:r>
        <w:t xml:space="preserve"> </w:t>
      </w:r>
      <w:r>
        <w:t xml:space="preserve">- Implementación y mantenimiento en condiciones operativas y</w:t>
      </w:r>
      <w:r>
        <w:t xml:space="preserve"> </w:t>
      </w:r>
      <w:r>
        <w:t xml:space="preserve">San Dedicada SAN Network Security;</w:t>
      </w:r>
      <w:r>
        <w:t xml:space="preserve"> </w:t>
      </w:r>
      <w:r>
        <w:t xml:space="preserve">- La instalación y administración de bayas de almacenamiento compartidas entre</w:t>
      </w:r>
      <w:r>
        <w:t xml:space="preserve"> </w:t>
      </w:r>
      <w:r>
        <w:t xml:space="preserve">clientes, incluido su mantenimiento en condiciones operativas y</w:t>
      </w:r>
      <w:r>
        <w:t xml:space="preserve"> </w:t>
      </w:r>
      <w:r>
        <w:t xml:space="preserve">condición de seguridad, supervisión y metrología;</w:t>
      </w:r>
      <w:r>
        <w:t xml:space="preserve"> </w:t>
      </w:r>
      <w:r>
        <w:t xml:space="preserve">- La implementación de sistemas automatizados para la asignación de LUNS</w:t>
      </w:r>
      <w:r>
        <w:t xml:space="preserve"> </w:t>
      </w:r>
      <w:r>
        <w:t xml:space="preserve">(Números de unidad lógicos) de almacenamiento dedicado al uso del patrocinador,</w:t>
      </w:r>
      <w:r>
        <w:t xml:space="preserve"> </w:t>
      </w:r>
      <w:r>
        <w:t xml:space="preserve">De acuerdo con los volúmenes suscritos por el patrocinador.</w:t>
      </w:r>
    </w:p>
    <w:bookmarkEnd w:id="28"/>
    <w:bookmarkStart w:id="29" w:name="infraestructura-de-red-global"/>
    <w:p>
      <w:pPr>
        <w:pStyle w:val="Heading3"/>
      </w:pPr>
      <w:r>
        <w:t xml:space="preserve">7.2.5.Infraestructura de red global</w:t>
      </w:r>
    </w:p>
    <w:p>
      <w:pPr>
        <w:pStyle w:val="FirstParagraph"/>
      </w:pPr>
      <w:r>
        <w:t xml:space="preserve">El proveedor de servicios implementa como parte del servicio, una red global</w:t>
      </w:r>
      <w:r>
        <w:t xml:space="preserve"> </w:t>
      </w:r>
      <w:r>
        <w:t xml:space="preserve">facilitar al patrocinador la accesibilidad de sus sistemas</w:t>
      </w:r>
      <w:r>
        <w:t xml:space="preserve"> </w:t>
      </w:r>
      <w:r>
        <w:t xml:space="preserve">Organizado.Este servicio incluye:</w:t>
      </w:r>
    </w:p>
    <w:p>
      <w:pPr>
        <w:pStyle w:val="Compact"/>
        <w:numPr>
          <w:ilvl w:val="0"/>
          <w:numId w:val="1005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todos los enlaces de fibra óptica</w:t>
      </w:r>
      <w:r>
        <w:t xml:space="preserve"> </w:t>
      </w:r>
      <w:r>
        <w:t xml:space="preserve">interconectando las diferentes zonas de disponibilidad;</w:t>
      </w:r>
    </w:p>
    <w:p>
      <w:pPr>
        <w:pStyle w:val="Compact"/>
        <w:numPr>
          <w:ilvl w:val="0"/>
          <w:numId w:val="1005"/>
        </w:numPr>
      </w:pPr>
      <w:r>
        <w:t xml:space="preserve">El suministro, el mantenimiento en condiciones operativas y en condición</w:t>
      </w:r>
      <w:r>
        <w:t xml:space="preserve"> </w:t>
      </w:r>
      <w:r>
        <w:t xml:space="preserve">Seguridad de los equipos técnicos necesarios para el derecho</w:t>
      </w:r>
      <w:r>
        <w:t xml:space="preserve"> </w:t>
      </w:r>
      <w:r>
        <w:t xml:space="preserve">operación de red y aislamiento de diferentes clientes.</w:t>
      </w:r>
    </w:p>
    <w:p>
      <w:pPr>
        <w:pStyle w:val="FirstParagraph"/>
      </w:pPr>
      <w:r>
        <w:t xml:space="preserve">La interconexión de red de la autoridad, Internet o</w:t>
      </w:r>
      <w:r>
        <w:t xml:space="preserve"> </w:t>
      </w:r>
      <w:r>
        <w:t xml:space="preserve">redes privadas y equipos de red, operadores y otros</w:t>
      </w:r>
      <w:r>
        <w:t xml:space="preserve"> </w:t>
      </w:r>
      <w:r>
        <w:t xml:space="preserve">Los componentes técnicos que llevan a cabo esta interconexión no son parte</w:t>
      </w:r>
      <w:r>
        <w:t xml:space="preserve"> </w:t>
      </w:r>
      <w:r>
        <w:t xml:space="preserve">El perímetro del servicio.Esta interconexión de red se implementa</w:t>
      </w:r>
      <w:r>
        <w:t xml:space="preserve"> </w:t>
      </w:r>
      <w:r>
        <w:t xml:space="preserve">de acuerdo con las disposiciones previstas en el contrato.</w:t>
      </w:r>
    </w:p>
    <w:bookmarkEnd w:id="29"/>
    <w:bookmarkStart w:id="30" w:name="infraestructura-de-respaldo"/>
    <w:p>
      <w:pPr>
        <w:pStyle w:val="Heading3"/>
      </w:pPr>
      <w:r>
        <w:t xml:space="preserve">7.2.6.Infraestructura de respaldo</w:t>
      </w:r>
    </w:p>
    <w:p>
      <w:pPr>
        <w:pStyle w:val="FirstParagraph"/>
      </w:pPr>
      <w:r>
        <w:t xml:space="preserve">El proveedor de servicios proporciona al patrocinador un servicio de</w:t>
      </w:r>
      <w:r>
        <w:t xml:space="preserve"> </w:t>
      </w:r>
      <w:r>
        <w:t xml:space="preserve">copia de seguridad integrada, dedicada y administrada, destinada a la protección de su</w:t>
      </w:r>
      <w:r>
        <w:t xml:space="preserve"> </w:t>
      </w:r>
      <w:r>
        <w:t xml:space="preserve">Máquinas virtuales.El proveedor asegura el mantenimiento en condición</w:t>
      </w:r>
      <w:r>
        <w:t xml:space="preserve"> </w:t>
      </w:r>
      <w:r>
        <w:t xml:space="preserve">condición operativa y de seguridad de este servicio de respaldo.</w:t>
      </w:r>
      <w:r>
        <w:t xml:space="preserve"> </w:t>
      </w:r>
      <w:r>
        <w:t xml:space="preserve">El proveedor de servicios asegura que las copias de seguridad del patrocinador sean</w:t>
      </w:r>
      <w:r>
        <w:t xml:space="preserve"> </w:t>
      </w:r>
      <w:r>
        <w:t xml:space="preserve">Ubicado fuera del área de disponibilidad para cargas de trabajo</w:t>
      </w:r>
      <w:r>
        <w:t xml:space="preserve"> </w:t>
      </w:r>
      <w:r>
        <w:t xml:space="preserve">salvaguardado, siempre que el patrocinador se haya suscrito a las unidades</w:t>
      </w:r>
      <w:r>
        <w:t xml:space="preserve"> </w:t>
      </w:r>
      <w:r>
        <w:t xml:space="preserve">trabajo adecuado.</w:t>
      </w:r>
    </w:p>
    <w:p>
      <w:pPr>
        <w:pStyle w:val="BodyText"/>
      </w:pPr>
      <w:r>
        <w:t xml:space="preserve">Este servicio de respaldo se limita a las máquinas de ahorro</w:t>
      </w:r>
      <w:r>
        <w:t xml:space="preserve"> </w:t>
      </w:r>
      <w:r>
        <w:t xml:space="preserve">Configuraciones virtuales y de topología ambiental IaaS</w:t>
      </w:r>
      <w:r>
        <w:t xml:space="preserve"> </w:t>
      </w:r>
      <w:r>
        <w:t xml:space="preserve">Inquilinos del patrocinador como parte del servicio. Desarrollo y</w:t>
      </w:r>
      <w:r>
        <w:t xml:space="preserve"> </w:t>
      </w:r>
      <w:r>
        <w:t xml:space="preserve">la aplicación de una política de salvaguardia adecuada por parte del</w:t>
      </w:r>
      <w:r>
        <w:t xml:space="preserve"> </w:t>
      </w:r>
      <w:r>
        <w:t xml:space="preserve">El patrocinador depende de la suscripción a las unidades de trabajo</w:t>
      </w:r>
      <w:r>
        <w:t xml:space="preserve"> </w:t>
      </w:r>
      <w:r>
        <w:t xml:space="preserve">específico.Por lo tanto, es responsabilidad del patrocinador garantizar el</w:t>
      </w:r>
      <w:r>
        <w:t xml:space="preserve"> </w:t>
      </w:r>
      <w:r>
        <w:t xml:space="preserve">disponibilidad de los recursos técnicos necesarios con el</w:t>
      </w:r>
      <w:r>
        <w:t xml:space="preserve"> </w:t>
      </w:r>
      <w:r>
        <w:t xml:space="preserve">Proveedor implementar su política de salvaguardia o ajustar</w:t>
      </w:r>
      <w:r>
        <w:t xml:space="preserve"> </w:t>
      </w:r>
      <w:r>
        <w:t xml:space="preserve">Este último según los medios disponibles.</w:t>
      </w:r>
    </w:p>
    <w:p>
      <w:pPr>
        <w:pStyle w:val="BodyText"/>
      </w:pPr>
      <w:r>
        <w:t xml:space="preserve">El proveedor de servicios se compromete a notificar al patrocinador en caso de</w:t>
      </w:r>
      <w:r>
        <w:t xml:space="preserve"> </w:t>
      </w:r>
      <w:r>
        <w:t xml:space="preserve">restricciones de capacidad y para proporcionar asistencia de asesoramiento para</w:t>
      </w:r>
      <w:r>
        <w:t xml:space="preserve"> </w:t>
      </w:r>
      <w:r>
        <w:t xml:space="preserve">Optimización de recursos.Las obligaciones del proveedor son</w:t>
      </w:r>
      <w:r>
        <w:t xml:space="preserve"> </w:t>
      </w:r>
      <w:r>
        <w:t xml:space="preserve">se limitará a la implementación de las necesidades expresadas por el patrocinador</w:t>
      </w:r>
      <w:r>
        <w:t xml:space="preserve"> </w:t>
      </w:r>
      <w:r>
        <w:t xml:space="preserve">En términos de política de salvaguardia, en el marco de los recursos</w:t>
      </w:r>
      <w:r>
        <w:t xml:space="preserve"> </w:t>
      </w:r>
      <w:r>
        <w:t xml:space="preserve">suscrito.</w:t>
      </w:r>
    </w:p>
    <w:bookmarkEnd w:id="30"/>
    <w:bookmarkStart w:id="31" w:name="Xeb36b5cb7f3aa4c65cb0dce0e8fd702a1fb376b"/>
    <w:p>
      <w:pPr>
        <w:pStyle w:val="Heading3"/>
      </w:pPr>
      <w:r>
        <w:t xml:space="preserve">7.2.7.Implementación de soluciones de reanudación de actividad o actividad</w:t>
      </w:r>
    </w:p>
    <w:p>
      <w:pPr>
        <w:pStyle w:val="FirstParagraph"/>
      </w:pPr>
      <w:r>
        <w:t xml:space="preserve">El proveedor de servicios proporciona al patrocinador todas las soluciones</w:t>
      </w:r>
      <w:r>
        <w:t xml:space="preserve"> </w:t>
      </w:r>
      <w:r>
        <w:t xml:space="preserve">técnicas necesarias para garantizar una distribución óptima de su</w:t>
      </w:r>
      <w:r>
        <w:t xml:space="preserve"> </w:t>
      </w:r>
      <w:r>
        <w:t xml:space="preserve">Recursos a través de diversas áreas de disponibilidad.Es responsabilidad de</w:t>
      </w:r>
      <w:r>
        <w:t xml:space="preserve"> </w:t>
      </w:r>
      <w:r>
        <w:t xml:space="preserve">COMMANDITAIRE la responsabilité de gérer efficacement cette distribution</w:t>
      </w:r>
      <w:r>
        <w:t xml:space="preserve"> </w:t>
      </w:r>
      <w:r>
        <w:t xml:space="preserve">de ressources, pour laquelle il a la possibilité à exploiter les outils</w:t>
      </w:r>
      <w:r>
        <w:t xml:space="preserve"> </w:t>
      </w:r>
      <w:r>
        <w:t xml:space="preserve">du Prestataire disponibles à cet usage.</w:t>
      </w:r>
    </w:p>
    <w:bookmarkEnd w:id="31"/>
    <w:bookmarkEnd w:id="32"/>
    <w:bookmarkStart w:id="36" w:name="X9ba7c59a0dd25518b07f4acf4ee1cac723942c0"/>
    <w:p>
      <w:pPr>
        <w:pStyle w:val="Heading2"/>
      </w:pPr>
      <w:r>
        <w:t xml:space="preserve">7.3. Limitations des services dans le modèle IaaS qualifié</w:t>
      </w:r>
    </w:p>
    <w:bookmarkStart w:id="33" w:name="services-managés-en-run"/>
    <w:p>
      <w:pPr>
        <w:pStyle w:val="Heading3"/>
      </w:pPr>
      <w:r>
        <w:t xml:space="preserve">7.3.1. Services managés en RUN</w:t>
      </w:r>
    </w:p>
    <w:p>
      <w:pPr>
        <w:pStyle w:val="FirstParagraph"/>
      </w:pPr>
      <w:r>
        <w:t xml:space="preserve">Il est important de noter que sont écartés du Service :</w:t>
      </w:r>
    </w:p>
    <w:p>
      <w:pPr>
        <w:numPr>
          <w:ilvl w:val="0"/>
          <w:numId w:val="1006"/>
        </w:numPr>
      </w:pPr>
      <w:r>
        <w:t xml:space="preserve">L’hébergement de composants physiques du COMMANDITAIRE ;</w:t>
      </w:r>
    </w:p>
    <w:p>
      <w:pPr>
        <w:numPr>
          <w:ilvl w:val="0"/>
          <w:numId w:val="1006"/>
        </w:numPr>
      </w:pPr>
      <w:r>
        <w:t xml:space="preserve">L’interconnexion réseau du Tenant COMMANDITAIRE, à Internet ou à des</w:t>
      </w:r>
      <w:r>
        <w:t xml:space="preserve"> </w:t>
      </w:r>
      <w:r>
        <w:t xml:space="preserve">réseaux privés, incluant les liens opérateur ;</w:t>
      </w:r>
    </w:p>
    <w:p>
      <w:pPr>
        <w:numPr>
          <w:ilvl w:val="0"/>
          <w:numId w:val="1006"/>
        </w:numPr>
      </w:pPr>
      <w:r>
        <w:t xml:space="preserve">Tout service de type managé, ou TMA;</w:t>
      </w:r>
    </w:p>
    <w:p>
      <w:pPr>
        <w:numPr>
          <w:ilvl w:val="0"/>
          <w:numId w:val="1006"/>
        </w:numPr>
      </w:pPr>
      <w:r>
        <w:t xml:space="preserve">Toute assistance sur les machines virtuelles au niveau OS et au-dessus</w:t>
      </w:r>
      <w:r>
        <w:t xml:space="preserve"> </w:t>
      </w:r>
      <w:r>
        <w:t xml:space="preserve">dans la pile de responsabilités Iaa, même s’il s’agit de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Cela étant, il n’est absolument pas exclu que le COMMANDITAIRE ait</w:t>
      </w:r>
      <w:r>
        <w:t xml:space="preserve"> </w:t>
      </w:r>
      <w:r>
        <w:t xml:space="preserve">recours à de tels services auprès de l’offre MSP du Prestataire pour</w:t>
      </w:r>
      <w:r>
        <w:t xml:space="preserve"> </w:t>
      </w:r>
      <w:r>
        <w:t xml:space="preserve">intervenir en mode services managés sur ses Tenants. Ces services ne</w:t>
      </w:r>
      <w:r>
        <w:t xml:space="preserve"> </w:t>
      </w:r>
      <w:r>
        <w:t xml:space="preserve">entonces no será supervisado por este acuerdo de servicio y su</w:t>
      </w:r>
      <w:r>
        <w:t xml:space="preserve"> </w:t>
      </w:r>
      <w:r>
        <w:t xml:space="preserve">Compromisos bipartitos/cláusulas.</w:t>
      </w:r>
    </w:p>
    <w:bookmarkEnd w:id="33"/>
    <w:bookmarkStart w:id="34" w:name="ayuda-de-configuración"/>
    <w:p>
      <w:pPr>
        <w:pStyle w:val="Heading3"/>
      </w:pPr>
      <w:r>
        <w:t xml:space="preserve">7.3.2.Ayuda de configuración</w:t>
      </w:r>
    </w:p>
    <w:p>
      <w:pPr>
        <w:pStyle w:val="FirstParagraph"/>
      </w:pPr>
      <w:r>
        <w:t xml:space="preserve">Por defecto, el proveedor de servicios proporciona la implementación de los recursos del</w:t>
      </w:r>
      <w:r>
        <w:t xml:space="preserve"> </w:t>
      </w:r>
      <w:r>
        <w:t xml:space="preserve">IaaS para el patrocinador reservando recursos y configurando el</w:t>
      </w:r>
      <w:r>
        <w:t xml:space="preserve"> </w:t>
      </w:r>
      <w:r>
        <w:t xml:space="preserve">despliegues para usar áreas de disponibilidad.Es responsabilidad de</w:t>
      </w:r>
      <w:r>
        <w:t xml:space="preserve"> </w:t>
      </w:r>
      <w:r>
        <w:t xml:space="preserve">Patrocinador para elegir las zonas de disponibilidad a través de la interfaz</w:t>
      </w:r>
      <w:r>
        <w:t xml:space="preserve"> </w:t>
      </w:r>
      <w:r>
        <w:t xml:space="preserve">Patrocinador.</w:t>
      </w:r>
    </w:p>
    <w:bookmarkEnd w:id="34"/>
    <w:bookmarkStart w:id="35" w:name="configuración-de-la-copia-de-seguridad"/>
    <w:p>
      <w:pPr>
        <w:pStyle w:val="Heading3"/>
      </w:pPr>
      <w:r>
        <w:t xml:space="preserve">7.3.3.Configuración de la copia de seguridad</w:t>
      </w:r>
    </w:p>
    <w:p>
      <w:pPr>
        <w:pStyle w:val="FirstParagraph"/>
      </w:pPr>
      <w:r>
        <w:t xml:space="preserve">El rendimiento de la copia de seguridad se detiene en la copia de seguridad de las máquinas</w:t>
      </w:r>
      <w:r>
        <w:t xml:space="preserve"> </w:t>
      </w:r>
      <w:r>
        <w:t xml:space="preserve">Configuraciones virtuales y de topología que representan</w:t>
      </w:r>
      <w:r>
        <w:t xml:space="preserve"> </w:t>
      </w:r>
      <w:r>
        <w:t xml:space="preserve">el entorno Iaas de los patrocinadores del patrocinador como parte del</w:t>
      </w:r>
      <w:r>
        <w:t xml:space="preserve"> </w:t>
      </w:r>
      <w:r>
        <w:t xml:space="preserve">Servicio.</w:t>
      </w:r>
    </w:p>
    <w:p>
      <w:pPr>
        <w:pStyle w:val="BodyText"/>
      </w:pPr>
      <w:r>
        <w:t xml:space="preserve">El servicio de salvaguardia y la finalización de la política de</w:t>
      </w:r>
      <w:r>
        <w:t xml:space="preserve"> </w:t>
      </w:r>
      <w:r>
        <w:t xml:space="preserve">La copia de seguridad del patrocinador está sujeta a la suscripción del espacio desde</w:t>
      </w:r>
      <w:r>
        <w:t xml:space="preserve"> </w:t>
      </w:r>
      <w:r>
        <w:t xml:space="preserve">Almacenamiento masivo de almacenamiento necesario para proporcionar servicio.Él es</w:t>
      </w:r>
      <w:r>
        <w:t xml:space="preserve"> </w:t>
      </w:r>
      <w:r>
        <w:t xml:space="preserve">por lo tanto, de la responsabilidad del patrocinador de suscribirse al</w:t>
      </w:r>
      <w:r>
        <w:t xml:space="preserve"> </w:t>
      </w:r>
      <w:r>
        <w:t xml:space="preserve">Prestataire les moyens techniques nécessaires pour assurer la politique</w:t>
      </w:r>
      <w:r>
        <w:t xml:space="preserve"> </w:t>
      </w:r>
      <w:r>
        <w:t xml:space="preserve">de sauvegarde sur son périmètre informatique, ou d’ajuster la politique</w:t>
      </w:r>
      <w:r>
        <w:t xml:space="preserve"> </w:t>
      </w:r>
      <w:r>
        <w:t xml:space="preserve">de sauvegarde aux moyens mis en œuvre. Le Prestataire s’engage à</w:t>
      </w:r>
      <w:r>
        <w:t xml:space="preserve"> </w:t>
      </w:r>
      <w:r>
        <w:t xml:space="preserve">informer le COMMANDITAIRE en cas de limite de capacité technique.</w:t>
      </w:r>
    </w:p>
    <w:p>
      <w:pPr>
        <w:pStyle w:val="BodyText"/>
      </w:pPr>
      <w:r>
        <w:t xml:space="preserve">Le Prestataire mettra en place les moyens techniques et humains</w:t>
      </w:r>
      <w:r>
        <w:t xml:space="preserve"> </w:t>
      </w:r>
      <w:r>
        <w:t xml:space="preserve">nécessaires à la sauvegarde du système hébergé dans la limite des</w:t>
      </w:r>
      <w:r>
        <w:t xml:space="preserve"> </w:t>
      </w:r>
      <w:r>
        <w:t xml:space="preserve">ressources souscrites par le COMMANDITAIRE.</w:t>
      </w:r>
    </w:p>
    <w:p>
      <w:pPr>
        <w:pStyle w:val="BodyText"/>
      </w:pPr>
      <w:r>
        <w:t xml:space="preserve">Además, en el caso de perímetros no respaldados por el</w:t>
      </w:r>
      <w:r>
        <w:t xml:space="preserve"> </w:t>
      </w:r>
      <w:r>
        <w:t xml:space="preserve">Proveedor, depende del patrocinador definir el suyo</w:t>
      </w:r>
      <w:r>
        <w:t xml:space="preserve"> </w:t>
      </w:r>
      <w:r>
        <w:t xml:space="preserve">La estrategia de salvaguardia y él mismo configure las copias de seguridad de VM</w:t>
      </w:r>
      <w:r>
        <w:t xml:space="preserve"> </w:t>
      </w:r>
      <w:r>
        <w:t xml:space="preserve">o solicite un servicio del proveedor de servicios para el</w:t>
      </w:r>
      <w:r>
        <w:t xml:space="preserve"> </w:t>
      </w:r>
      <w:r>
        <w:t xml:space="preserve">La configuración de copias de seguridad para servidores físicos se pone en</w:t>
      </w:r>
      <w:r>
        <w:t xml:space="preserve"> </w:t>
      </w:r>
      <w:r>
        <w:t xml:space="preserve">Lugar si el patrocinador tiene un contrato de servicio administrado</w:t>
      </w:r>
      <w:r>
        <w:t xml:space="preserve"> </w:t>
      </w:r>
      <w:r>
        <w:t xml:space="preserve">permitiendo que el proveedor actúe a través de la interfaz del patrocinador que es</w:t>
      </w:r>
      <w:r>
        <w:t xml:space="preserve"> </w:t>
      </w:r>
      <w:r>
        <w:t xml:space="preserve">la consola de administración que está disponible en el marco de</w:t>
      </w:r>
      <w:r>
        <w:t xml:space="preserve"> </w:t>
      </w:r>
      <w:r>
        <w:t xml:space="preserve">este acuerdo de servicio y que tiene características para</w:t>
      </w:r>
      <w:r>
        <w:t xml:space="preserve"> </w:t>
      </w:r>
      <w:r>
        <w:t xml:space="preserve">Configurar copias de seguridad.</w:t>
      </w:r>
    </w:p>
    <w:p>
      <w:pPr>
        <w:pStyle w:val="BodyText"/>
      </w:pPr>
      <w:r>
        <w:t xml:space="preserve">Además, este servicio solo tendrá el compromiso de traducir al</w:t>
      </w:r>
      <w:r>
        <w:t xml:space="preserve"> </w:t>
      </w:r>
      <w:r>
        <w:t xml:space="preserve">Configuración a través de la interfaz del patrocinador, la configuración especificada</w:t>
      </w:r>
      <w:r>
        <w:t xml:space="preserve"> </w:t>
      </w:r>
      <w:r>
        <w:t xml:space="preserve">Claramente por el patrocinador.</w:t>
      </w:r>
    </w:p>
    <w:p>
      <w:pPr>
        <w:pStyle w:val="BodyText"/>
      </w:pPr>
      <w:r>
        <w:t xml:space="preserve">Por razones de flexibilidad de la oferta del proveedor, el</w:t>
      </w:r>
      <w:r>
        <w:t xml:space="preserve"> </w:t>
      </w:r>
      <w:r>
        <w:t xml:space="preserve">El patrocinador tiene la opción de asociar una política de no sausaje en</w:t>
      </w:r>
      <w:r>
        <w:t xml:space="preserve"> </w:t>
      </w:r>
      <w:r>
        <w:t xml:space="preserve">Algunas de sus máquinas virtuales.En este caso, pertenece al patrocinador</w:t>
      </w:r>
      <w:r>
        <w:t xml:space="preserve"> </w:t>
      </w:r>
      <w:r>
        <w:t xml:space="preserve">para asumir esta elección.El proveedor de servicios no salvaguardará las máquinas virtuales asociadas</w:t>
      </w:r>
      <w:r>
        <w:t xml:space="preserve"> </w:t>
      </w:r>
      <w:r>
        <w:t xml:space="preserve">a la política  </w:t>
      </w:r>
      <w:r>
        <w:t xml:space="preserve">“Sin respaldo ".El proveedor de servicios alerta al patrocinador que</w:t>
      </w:r>
      <w:r>
        <w:t xml:space="preserve"> </w:t>
      </w:r>
      <w:r>
        <w:t xml:space="preserve">Elija la política  ”</w:t>
      </w:r>
      <w:r>
        <w:t xml:space="preserve">No Backup " o elija Guardar</w:t>
      </w:r>
      <w:r>
        <w:t xml:space="preserve"> </w:t>
      </w:r>
      <w:r>
        <w:t xml:space="preserve">Expone manualmente al patrocinador a una pérdida de datos final</w:t>
      </w:r>
      <w:r>
        <w:t xml:space="preserve"> </w:t>
      </w:r>
      <w:r>
        <w:t xml:space="preserve">en caso de un incidente en las capas bajas o en las capas dependientes de</w:t>
      </w:r>
      <w:r>
        <w:t xml:space="preserve"> </w:t>
      </w:r>
      <w:r>
        <w:t xml:space="preserve">Su responsabilidad en el modelo IaaS.En tal caso, será</w:t>
      </w:r>
      <w:r>
        <w:t xml:space="preserve"> </w:t>
      </w:r>
      <w:r>
        <w:t xml:space="preserve">Imposible mantener al proveedor de servicios responsables para restaurar los datos</w:t>
      </w:r>
      <w:r>
        <w:t xml:space="preserve"> </w:t>
      </w:r>
      <w:r>
        <w:t xml:space="preserve">Porque no habrá nada que restaurar.El proveedor recomienda siempre</w:t>
      </w:r>
      <w:r>
        <w:t xml:space="preserve"> </w:t>
      </w:r>
      <w:r>
        <w:t xml:space="preserve">Guardar las máquinas virtuales.</w:t>
      </w:r>
    </w:p>
    <w:p>
      <w:pPr>
        <w:pStyle w:val="BodyText"/>
      </w:pPr>
      <w:r>
        <w:t xml:space="preserve">Para cualquier tema relacionado con el sistema operativo instalado en una máquina virtual y</w:t>
      </w:r>
      <w:r>
        <w:t xml:space="preserve"> </w:t>
      </w:r>
      <w:r>
        <w:t xml:space="preserve">Cualquier software o programa ejecutado</w:t>
      </w:r>
      <w:r>
        <w:t xml:space="preserve"> </w:t>
      </w:r>
      <w:r>
        <w:t xml:space="preserve">“sobre el hueso”</w:t>
      </w:r>
      <w:r>
        <w:t xml:space="preserve">, es</w:t>
      </w:r>
      <w:r>
        <w:t xml:space="preserve"> </w:t>
      </w:r>
      <w:r>
        <w:t xml:space="preserve">Responsabilidad del patrocinador para llevar a cabo operaciones</w:t>
      </w:r>
      <w:r>
        <w:t xml:space="preserve"> </w:t>
      </w:r>
      <w:r>
        <w:t xml:space="preserve">administración y supervisión dentro de la Unión Europea si</w:t>
      </w:r>
      <w:r>
        <w:t xml:space="preserve"> </w:t>
      </w:r>
      <w:r>
        <w:t xml:space="preserve">desea garantizar que toda la verticalidad de los pañales de los IS sea</w:t>
      </w:r>
      <w:r>
        <w:t xml:space="preserve"> </w:t>
      </w:r>
      <w:r>
        <w:t xml:space="preserve">operado y administrado de la Unión Europea.Operaciones</w:t>
      </w:r>
      <w:r>
        <w:t xml:space="preserve"> </w:t>
      </w:r>
      <w:r>
        <w:t xml:space="preserve">administración fuera del perímetro de servicio del proveedor de servicios en</w:t>
      </w:r>
      <w:r>
        <w:t xml:space="preserve"> </w:t>
      </w:r>
      <w:r>
        <w:t xml:space="preserve">el marco de este acuerdo de servicio que se indica en el</w:t>
      </w:r>
      <w:r>
        <w:t xml:space="preserve"> </w:t>
      </w:r>
      <w:r>
        <w:t xml:space="preserve">Sección de</w:t>
      </w:r>
      <w:r>
        <w:t xml:space="preserve"> </w:t>
      </w:r>
      <w:r>
        <w:t xml:space="preserve">“modelo de responsabilidad compartida”</w:t>
      </w:r>
      <w:r>
        <w:t xml:space="preserve"> </w:t>
      </w:r>
      <w:r>
        <w:t xml:space="preserve">de este</w:t>
      </w:r>
      <w:r>
        <w:t xml:space="preserve"> </w:t>
      </w:r>
      <w:r>
        <w:t xml:space="preserve">Convenciones de servicio.</w:t>
      </w:r>
    </w:p>
    <w:bookmarkEnd w:id="35"/>
    <w:bookmarkEnd w:id="36"/>
    <w:bookmarkStart w:id="38" w:name="implementación-del-servicio"/>
    <w:p>
      <w:pPr>
        <w:pStyle w:val="Heading2"/>
      </w:pPr>
      <w:r>
        <w:t xml:space="preserve">7.4.Implementación del servicio</w:t>
      </w:r>
    </w:p>
    <w:bookmarkStart w:id="37" w:name="prerrequisitos-técnicos"/>
    <w:p>
      <w:pPr>
        <w:pStyle w:val="Heading3"/>
      </w:pPr>
      <w:r>
        <w:t xml:space="preserve">7.4.1.Prerrequisitos técnicos</w:t>
      </w:r>
    </w:p>
    <w:p>
      <w:pPr>
        <w:pStyle w:val="FirstParagraph"/>
      </w:pPr>
      <w:r>
        <w:t xml:space="preserve">Para la implementación del servicio, el patrocinador reconoce que debe</w:t>
      </w:r>
      <w:r>
        <w:t xml:space="preserve"> </w:t>
      </w:r>
      <w:r>
        <w:t xml:space="preserve">::</w:t>
      </w:r>
      <w:r>
        <w:t xml:space="preserve"> </w:t>
      </w:r>
      <w:r>
        <w:t xml:space="preserve">- Operación con vMware Tipo de virtualización en las versiones</w:t>
      </w:r>
      <w:r>
        <w:t xml:space="preserve"> </w:t>
      </w:r>
      <w:r>
        <w:t xml:space="preserve">Con el apoyo del editor y proporcionado por el proveedor de servicios como parte</w:t>
      </w:r>
      <w:r>
        <w:t xml:space="preserve"> </w:t>
      </w:r>
      <w:r>
        <w:t xml:space="preserve">servicio;</w:t>
      </w:r>
    </w:p>
    <w:p>
      <w:pPr>
        <w:numPr>
          <w:ilvl w:val="0"/>
          <w:numId w:val="1007"/>
        </w:numPr>
      </w:pPr>
      <w:r>
        <w:t xml:space="preserve">Use a través del proveedor de servicios para usar la herramienta de respaldo;</w:t>
      </w:r>
    </w:p>
    <w:p>
      <w:pPr>
        <w:numPr>
          <w:ilvl w:val="0"/>
          <w:numId w:val="1007"/>
        </w:numPr>
      </w:pPr>
      <w:r>
        <w:t xml:space="preserve">Declarar IP fijos a partir de las cuales el proveedor de servicios lo autorizará a</w:t>
      </w:r>
      <w:r>
        <w:t xml:space="preserve"> </w:t>
      </w:r>
      <w:r>
        <w:t xml:space="preserve">Acceda a la interfaz del patrocinador (filtrado por la lista blanca).EL</w:t>
      </w:r>
      <w:r>
        <w:t xml:space="preserve"> </w:t>
      </w:r>
      <w:r>
        <w:t xml:space="preserve">Los cambios en esta lista de IP deben realizarse a través del menú</w:t>
      </w:r>
      <w:r>
        <w:t xml:space="preserve"> </w:t>
      </w:r>
      <w:r>
        <w:t xml:space="preserve">proporcionado para este propósito en la consola o mediante solicitudes de servicio para</w:t>
      </w:r>
      <w:r>
        <w:t xml:space="preserve"> </w:t>
      </w:r>
      <w:r>
        <w:t xml:space="preserve">cambios posteriores.En la inicialización del servicio, el</w:t>
      </w:r>
      <w:r>
        <w:t xml:space="preserve"> </w:t>
      </w:r>
      <w:r>
        <w:t xml:space="preserve">El proveedor habrá sido informado al menos de al menos 1 dirección IP, como</w:t>
      </w:r>
      <w:r>
        <w:t xml:space="preserve"> </w:t>
      </w:r>
      <w:r>
        <w:t xml:space="preserve">que describe.</w:t>
      </w:r>
    </w:p>
    <w:bookmarkEnd w:id="37"/>
    <w:bookmarkEnd w:id="38"/>
    <w:bookmarkStart w:id="41" w:name="ubicación-del-servicio-en-francia"/>
    <w:p>
      <w:pPr>
        <w:pStyle w:val="Heading2"/>
      </w:pPr>
      <w:r>
        <w:t xml:space="preserve">7.5.Ubicación del servicio en Francia</w:t>
      </w:r>
    </w:p>
    <w:p>
      <w:pPr>
        <w:pStyle w:val="FirstParagraph"/>
      </w:pPr>
      <w:r>
        <w:t xml:space="preserve">Se especifica que ninguna de las operaciones y ninguno de los componentes</w:t>
      </w:r>
      <w:r>
        <w:t xml:space="preserve"> </w:t>
      </w:r>
      <w:r>
        <w:t xml:space="preserve">físico involucrado en la provisión del servicio, de la cual</w:t>
      </w:r>
      <w:r>
        <w:t xml:space="preserve"> </w:t>
      </w:r>
      <w:r>
        <w:t xml:space="preserve">El acuerdo de servicio es el tema, no se encuentra fuera de la Unión</w:t>
      </w:r>
      <w:r>
        <w:t xml:space="preserve"> </w:t>
      </w:r>
      <w:r>
        <w:t xml:space="preserve">Europeo.</w:t>
      </w:r>
      <w:r>
        <w:t xml:space="preserve"> </w:t>
      </w:r>
      <w:r>
        <w:t xml:space="preserve">Esto incluye soporte, supervisión operativa y</w:t>
      </w:r>
      <w:r>
        <w:t xml:space="preserve"> </w:t>
      </w:r>
      <w:r>
        <w:t xml:space="preserve">Supervisión de seguridad (SOC) de la infraestructura técnica que entrega el</w:t>
      </w:r>
      <w:r>
        <w:t xml:space="preserve"> </w:t>
      </w:r>
      <w:r>
        <w:t xml:space="preserve">Servicio.De hecho, todo almacenamiento, todas las tareas de administración,</w:t>
      </w:r>
      <w:r>
        <w:t xml:space="preserve"> </w:t>
      </w:r>
      <w:r>
        <w:t xml:space="preserve">Supervisión y todos los tratamientos se llevan a cabo en Francia.</w:t>
      </w:r>
    </w:p>
    <w:bookmarkStart w:id="39" w:name="X894210b601cf4398698c30d7fc0c4d84593d6b7"/>
    <w:p>
      <w:pPr>
        <w:pStyle w:val="Heading3"/>
      </w:pPr>
      <w:r>
        <w:t xml:space="preserve">7.5.1.Ubicación de centros de datos que aloja el servicio</w:t>
      </w:r>
    </w:p>
    <w:p>
      <w:pPr>
        <w:pStyle w:val="FirstParagraph"/>
      </w:pPr>
      <w:r>
        <w:t xml:space="preserve">En ausencia de las operaciones de empleados y agencias de</w:t>
      </w:r>
      <w:r>
        <w:t xml:space="preserve"> </w:t>
      </w:r>
      <w:r>
        <w:t xml:space="preserve">Proveedor de servicios, todas las operaciones de producción (incluida la</w:t>
      </w:r>
      <w:r>
        <w:t xml:space="preserve"> </w:t>
      </w:r>
      <w:r>
        <w:t xml:space="preserve">Almacenamiento y procesamiento de datos) y componentes técnicos</w:t>
      </w:r>
      <w:r>
        <w:t xml:space="preserve"> </w:t>
      </w:r>
      <w:r>
        <w:t xml:space="preserve">La entrega del servicio se encuentra en los centros de datos con sede en Francia.</w:t>
      </w:r>
    </w:p>
    <w:bookmarkEnd w:id="39"/>
    <w:bookmarkStart w:id="40" w:name="Xd4551f0ca0ef1562688c99bf6e8857bcb51b622"/>
    <w:p>
      <w:pPr>
        <w:pStyle w:val="Heading3"/>
      </w:pPr>
      <w:r>
        <w:t xml:space="preserve">7.5.2.Ubicación de las agencias del templo en la nube que operan el servicio</w:t>
      </w:r>
    </w:p>
    <w:p>
      <w:pPr>
        <w:pStyle w:val="FirstParagraph"/>
      </w:pPr>
      <w:r>
        <w:t xml:space="preserve">Empleados del templo en la nube involucrados en el perímetro</w:t>
      </w:r>
      <w:r>
        <w:t xml:space="preserve"> </w:t>
      </w:r>
      <w:r>
        <w:t xml:space="preserve">Duservicio operan desde las agencias del templo en la nube, todas ubicadas</w:t>
      </w:r>
      <w:r>
        <w:t xml:space="preserve"> </w:t>
      </w:r>
      <w:r>
        <w:t xml:space="preserve">exclusivamente en Francia.Estas agencias se encuentran en Francia, en tours,</w:t>
      </w:r>
      <w:r>
        <w:t xml:space="preserve"> </w:t>
      </w:r>
      <w:r>
        <w:t xml:space="preserve">Lyon, Caen y Paris La Défense.</w:t>
      </w:r>
      <w:r>
        <w:t xml:space="preserve"> </w:t>
      </w:r>
      <w:r>
        <w:t xml:space="preserve">El patrocinador está informado de la posibilidad de empleados en la nube</w:t>
      </w:r>
      <w:r>
        <w:t xml:space="preserve"> </w:t>
      </w:r>
      <w:r>
        <w:t xml:space="preserve">Templo para trabajar de forma remota.Sin embargo, el proveedor de servicios garantiza el</w:t>
      </w:r>
      <w:r>
        <w:t xml:space="preserve"> </w:t>
      </w:r>
      <w:r>
        <w:t xml:space="preserve">El mismo nivel de seguridad con respecto al acceso remoto, en particular</w:t>
      </w:r>
      <w:r>
        <w:t xml:space="preserve"> </w:t>
      </w:r>
      <w:r>
        <w:t xml:space="preserve">Con respecto al acceso de VPN.Este acceso remoto se implementa</w:t>
      </w:r>
      <w:r>
        <w:t xml:space="preserve"> </w:t>
      </w:r>
      <w:r>
        <w:t xml:space="preserve">De acuerdo con los requisitos del estándar SecnumCloud.</w:t>
      </w:r>
    </w:p>
    <w:bookmarkEnd w:id="40"/>
    <w:bookmarkEnd w:id="41"/>
    <w:bookmarkStart w:id="47" w:name="apoyo"/>
    <w:p>
      <w:pPr>
        <w:pStyle w:val="Heading2"/>
      </w:pPr>
      <w:r>
        <w:t xml:space="preserve">7.6.Apoyo</w:t>
      </w:r>
    </w:p>
    <w:bookmarkStart w:id="42" w:name="X5b64b560834049ae90239d33777677ec633909f"/>
    <w:p>
      <w:pPr>
        <w:pStyle w:val="Heading3"/>
      </w:pPr>
      <w:r>
        <w:t xml:space="preserve">7.6.1.Naturaleza del apoyo que acompaña al servicio</w:t>
      </w:r>
    </w:p>
    <w:p>
      <w:pPr>
        <w:pStyle w:val="FirstParagraph"/>
      </w:pPr>
      <w:r>
        <w:t xml:space="preserve">El proveedor de servicios proporciona un servicio de soporte técnico destinado a asistir</w:t>
      </w:r>
      <w:r>
        <w:t xml:space="preserve"> </w:t>
      </w:r>
      <w:r>
        <w:t xml:space="preserve">el patrocinador en la gestión, solución de problemas y optimización de</w:t>
      </w:r>
      <w:r>
        <w:t xml:space="preserve"> </w:t>
      </w:r>
      <w:r>
        <w:t xml:space="preserve">sus recursos desplegados.Este servicio cubre un rango extendido</w:t>
      </w:r>
      <w:r>
        <w:t xml:space="preserve"> </w:t>
      </w:r>
      <w:r>
        <w:t xml:space="preserve">de actividades, desde que ayudó a la configuración inicial de los servicios</w:t>
      </w:r>
      <w:r>
        <w:t xml:space="preserve"> </w:t>
      </w:r>
      <w:r>
        <w:t xml:space="preserve">Hasta el soporte técnico avanzado para resolver problemas</w:t>
      </w:r>
      <w:r>
        <w:t xml:space="preserve"> </w:t>
      </w:r>
      <w:r>
        <w:t xml:space="preserve">específico.</w:t>
      </w:r>
    </w:p>
    <w:p>
      <w:pPr>
        <w:pStyle w:val="BodyText"/>
      </w:pPr>
      <w:r>
        <w:t xml:space="preserve">Aquí hay una descripción de las características y funcionalidades del servicio.</w:t>
      </w:r>
      <w:r>
        <w:t xml:space="preserve"> </w:t>
      </w:r>
      <w:r>
        <w:t xml:space="preserve">apoyo:</w:t>
      </w:r>
    </w:p>
    <w:p>
      <w:pPr>
        <w:pStyle w:val="Compact"/>
        <w:numPr>
          <w:ilvl w:val="0"/>
          <w:numId w:val="1008"/>
        </w:numPr>
      </w:pPr>
      <w:r>
        <w:t xml:space="preserve">Asistencia en la implementación inicial del uso del servicio;</w:t>
      </w:r>
    </w:p>
    <w:p>
      <w:pPr>
        <w:pStyle w:val="Compact"/>
        <w:numPr>
          <w:ilvl w:val="0"/>
          <w:numId w:val="1008"/>
        </w:numPr>
      </w:pPr>
      <w:r>
        <w:t xml:space="preserve">Asistencia en la resolución de incidentes;</w:t>
      </w:r>
    </w:p>
    <w:p>
      <w:pPr>
        <w:pStyle w:val="Compact"/>
        <w:numPr>
          <w:ilvl w:val="0"/>
          <w:numId w:val="1008"/>
        </w:numPr>
      </w:pPr>
      <w:r>
        <w:t xml:space="preserve">Asistencia para resolver problemas;</w:t>
      </w:r>
    </w:p>
    <w:p>
      <w:pPr>
        <w:pStyle w:val="Compact"/>
        <w:numPr>
          <w:ilvl w:val="0"/>
          <w:numId w:val="1008"/>
        </w:numPr>
      </w:pPr>
      <w:r>
        <w:t xml:space="preserve">Monitoreo y asesoramiento para optimizar la base técnica.</w:t>
      </w:r>
    </w:p>
    <w:p>
      <w:pPr>
        <w:pStyle w:val="FirstParagraph"/>
      </w:pPr>
      <w:r>
        <w:t xml:space="preserve">Como parte del servicio de soporte, el proveedor no reemplaza</w:t>
      </w:r>
      <w:r>
        <w:t xml:space="preserve"> </w:t>
      </w:r>
      <w:r>
        <w:t xml:space="preserve">al patrocinador en el uso del servicio.El patrocinador permanece</w:t>
      </w:r>
      <w:r>
        <w:t xml:space="preserve"> </w:t>
      </w:r>
      <w:r>
        <w:t xml:space="preserve">completamente responsable de la configuración, la explotación de su VM</w:t>
      </w:r>
      <w:r>
        <w:t xml:space="preserve"> </w:t>
      </w:r>
      <w:r>
        <w:t xml:space="preserve">y sus proponentes y la gestión de todos los elementos (datos y</w:t>
      </w:r>
      <w:r>
        <w:t xml:space="preserve"> </w:t>
      </w:r>
      <w:r>
        <w:t xml:space="preserve">incluidas las aplicaciones) que él almacenó o instaló en</w:t>
      </w:r>
      <w:r>
        <w:t xml:space="preserve"> </w:t>
      </w:r>
      <w:r>
        <w:t xml:space="preserve">infrastructures du Prestataire. Le service de support technique est</w:t>
      </w:r>
      <w:r>
        <w:t xml:space="preserve"> </w:t>
      </w:r>
      <w:r>
        <w:t xml:space="preserve">fourni en accord avec les Conditions Générales de Vente et</w:t>
      </w:r>
      <w:r>
        <w:t xml:space="preserve"> </w:t>
      </w:r>
      <w:r>
        <w:t xml:space="preserve">d’Utilisation, le Prestataire étant tenu à une obligation de moyens.</w:t>
      </w:r>
    </w:p>
    <w:p>
      <w:pPr>
        <w:pStyle w:val="BodyText"/>
      </w:pPr>
      <w:r>
        <w:t xml:space="preserve">Le COMMANDITAIRE s’engage à utiliser le service de support technique de</w:t>
      </w:r>
      <w:r>
        <w:t xml:space="preserve"> </w:t>
      </w:r>
      <w:r>
        <w:t xml:space="preserve">manière raisonnable, s’abstenant notamment de solliciter des services</w:t>
      </w:r>
      <w:r>
        <w:t xml:space="preserve"> </w:t>
      </w:r>
      <w:r>
        <w:t xml:space="preserve">non souscrits auprès du Prestataire et de faire intervenir les équipes</w:t>
      </w:r>
      <w:r>
        <w:t xml:space="preserve"> </w:t>
      </w:r>
      <w:r>
        <w:t xml:space="preserve">du Prestataire auprès de ses propres clients ou de tiers non inclus dans</w:t>
      </w:r>
      <w:r>
        <w:t xml:space="preserve"> </w:t>
      </w:r>
      <w:r>
        <w:t xml:space="preserve">El contrato.El proveedor de servicios se reserva el derecho de rechazar cualquier solicitud</w:t>
      </w:r>
      <w:r>
        <w:t xml:space="preserve"> </w:t>
      </w:r>
      <w:r>
        <w:t xml:space="preserve">de servicio que no respeta estos criterios.</w:t>
      </w:r>
    </w:p>
    <w:p>
      <w:pPr>
        <w:pStyle w:val="BodyText"/>
      </w:pPr>
      <w:r>
        <w:t xml:space="preserve">El nivel de apoyo del soporte está condicionado a la suscripción de</w:t>
      </w:r>
      <w:r>
        <w:t xml:space="preserve"> </w:t>
      </w:r>
      <w:r>
        <w:t xml:space="preserve">Unidades de trabajo de apoyo asociadas.</w:t>
      </w:r>
    </w:p>
    <w:bookmarkEnd w:id="42"/>
    <w:bookmarkStart w:id="43" w:name="X3ed9e572318eb280be3977efbf4d0834e3f6d4e"/>
    <w:p>
      <w:pPr>
        <w:pStyle w:val="Heading3"/>
      </w:pPr>
      <w:r>
        <w:t xml:space="preserve">7.6.2.Solicitud del servicio de soporte técnico</w:t>
      </w:r>
    </w:p>
    <w:p>
      <w:pPr>
        <w:pStyle w:val="FirstParagraph"/>
      </w:pPr>
      <w:r>
        <w:t xml:space="preserve">Se puede acceder al soporte técnico a través de un sistema de boletos</w:t>
      </w:r>
      <w:r>
        <w:t xml:space="preserve"> </w:t>
      </w:r>
      <w:r>
        <w:t xml:space="preserve">a través de la consola del patrocinador y está disponible durante las horas</w:t>
      </w:r>
      <w:r>
        <w:t xml:space="preserve"> </w:t>
      </w:r>
      <w:r>
        <w:t xml:space="preserve">Oficina Normal Holidaciones normales (8 a.m. - 6 p.m.; lunes a viernes;</w:t>
      </w:r>
      <w:r>
        <w:t xml:space="preserve"> </w:t>
      </w:r>
      <w:r>
        <w:t xml:space="preserve">Calendario y horarios franceses).Para emergencias que ocurren afuera</w:t>
      </w:r>
      <w:r>
        <w:t xml:space="preserve"> </w:t>
      </w:r>
      <w:r>
        <w:t xml:space="preserve">horas de trabajo, incluidos los incidentes que afectan significativamente</w:t>
      </w:r>
      <w:r>
        <w:t xml:space="preserve"> </w:t>
      </w:r>
      <w:r>
        <w:t xml:space="preserve">Producción, el servicio en llamas se puede adjuntar a través de un número</w:t>
      </w:r>
      <w:r>
        <w:t xml:space="preserve"> </w:t>
      </w:r>
      <w:r>
        <w:t xml:space="preserve">Comunicado al patrocinador en la inicialización del servicio.</w:t>
      </w:r>
    </w:p>
    <w:p>
      <w:pPr>
        <w:pStyle w:val="BodyText"/>
      </w:pPr>
      <w:r>
        <w:t xml:space="preserve">Para cada solicitud o incidente, es imperativo generar un boleto</w:t>
      </w:r>
      <w:r>
        <w:t xml:space="preserve"> </w:t>
      </w:r>
      <w:r>
        <w:t xml:space="preserve">con el apoyo del proveedor de servicios.La inicialización de este boleto,</w:t>
      </w:r>
      <w:r>
        <w:t xml:space="preserve"> </w:t>
      </w:r>
      <w:r>
        <w:t xml:space="preserve">Incluyendo toda la información necesaria, es esencial y</w:t>
      </w:r>
      <w:r>
        <w:t xml:space="preserve"> </w:t>
      </w:r>
      <w:r>
        <w:t xml:space="preserve">marca el inicio de la evaluación de los compromisos del proveedor.</w:t>
      </w:r>
    </w:p>
    <w:p>
      <w:pPr>
        <w:pStyle w:val="BodyText"/>
      </w:pPr>
      <w:r>
        <w:t xml:space="preserve">Tan pronto como el proveedor de servicios reciba una solicitud o una notificación</w:t>
      </w:r>
      <w:r>
        <w:t xml:space="preserve"> </w:t>
      </w:r>
      <w:r>
        <w:t xml:space="preserve">incidente, ya sea a través de la consola de gestión o</w:t>
      </w:r>
      <w:r>
        <w:t xml:space="preserve"> </w:t>
      </w:r>
      <w:r>
        <w:t xml:space="preserve">Después de una llamada telefónica, se crea automáticamente un boleto.Durante</w:t>
      </w:r>
      <w:r>
        <w:t xml:space="preserve"> </w:t>
      </w:r>
      <w:r>
        <w:t xml:space="preserve">de la declaración de un incidente, es esencial que el patrocinador</w:t>
      </w:r>
      <w:r>
        <w:t xml:space="preserve"> </w:t>
      </w:r>
      <w:r>
        <w:t xml:space="preserve">Proporciona al proveedor tantos detalles sobre el problema</w:t>
      </w:r>
      <w:r>
        <w:t xml:space="preserve"> </w:t>
      </w:r>
      <w:r>
        <w:t xml:space="preserve">encontrar.Esto es crucial para permitir una evaluación</w:t>
      </w:r>
      <w:r>
        <w:t xml:space="preserve"> </w:t>
      </w:r>
      <w:r>
        <w:t xml:space="preserve">adecuado de la situación, su priorización y un diagnóstico efectivo.</w:t>
      </w:r>
    </w:p>
    <w:p>
      <w:pPr>
        <w:pStyle w:val="BodyText"/>
      </w:pPr>
      <w:r>
        <w:t xml:space="preserve">El patrocinador luego recibe confirmación por correo electrónico, lo que indica</w:t>
      </w:r>
      <w:r>
        <w:t xml:space="preserve"> </w:t>
      </w:r>
      <w:r>
        <w:t xml:space="preserve">La creación del boleto y su número único.El patrocinador puede</w:t>
      </w:r>
      <w:r>
        <w:t xml:space="preserve"> </w:t>
      </w:r>
      <w:r>
        <w:t xml:space="preserve">Consulte el estado y el historial de sus solicitudes y declaraciones</w:t>
      </w:r>
      <w:r>
        <w:t xml:space="preserve"> </w:t>
      </w:r>
      <w:r>
        <w:t xml:space="preserve">Incidentes directamente de la consola de gestión.</w:t>
      </w:r>
    </w:p>
    <w:bookmarkEnd w:id="43"/>
    <w:bookmarkStart w:id="44" w:name="proceso-de-gestión-de-incidentes"/>
    <w:p>
      <w:pPr>
        <w:pStyle w:val="Heading3"/>
      </w:pPr>
      <w:r>
        <w:t xml:space="preserve">7.6.3.Proceso de gestión de incidentes</w:t>
      </w:r>
    </w:p>
    <w:p>
      <w:pPr>
        <w:pStyle w:val="FirstParagraph"/>
      </w:pPr>
      <w:r>
        <w:t xml:space="preserve">Durante una declaración de un incidente, el equipo de soporte técnico de</w:t>
      </w:r>
      <w:r>
        <w:t xml:space="preserve"> </w:t>
      </w:r>
      <w:r>
        <w:t xml:space="preserve">El proveedor inicia una investigación para identificar la causa de</w:t>
      </w:r>
      <w:r>
        <w:t xml:space="preserve"> </w:t>
      </w:r>
      <w:r>
        <w:t xml:space="preserve">problema y establecer un diagnóstico.El patrocinador debe colaborar</w:t>
      </w:r>
      <w:r>
        <w:t xml:space="preserve"> </w:t>
      </w:r>
      <w:r>
        <w:t xml:space="preserve">activamente con el proveedor de servicios proporcionando toda la información</w:t>
      </w:r>
      <w:r>
        <w:t xml:space="preserve"> </w:t>
      </w:r>
      <w:r>
        <w:t xml:space="preserve">necesario y realizando las pruebas requeridas.El proveedor puede</w:t>
      </w:r>
      <w:r>
        <w:t xml:space="preserve"> </w:t>
      </w:r>
      <w:r>
        <w:t xml:space="preserve">Acceda al servicio de patrocinador para diagnosticar el incidente.</w:t>
      </w:r>
    </w:p>
    <w:p>
      <w:pPr>
        <w:pStyle w:val="BodyText"/>
      </w:pPr>
      <w:r>
        <w:t xml:space="preserve">Si los servicios del proveedor de servicios se consideran funcionales y el incidente</w:t>
      </w:r>
      <w:r>
        <w:t xml:space="preserve"> </w:t>
      </w:r>
      <w:r>
        <w:t xml:space="preserve">No es atribuible a él, el patrocinador será informado.Bajo demanda</w:t>
      </w:r>
      <w:r>
        <w:t xml:space="preserve"> </w:t>
      </w:r>
      <w:r>
        <w:t xml:space="preserve">du COMMANDITAIRE, le Prestataire peut proposer des Services</w:t>
      </w:r>
      <w:r>
        <w:t xml:space="preserve"> </w:t>
      </w:r>
      <w:r>
        <w:t xml:space="preserve">Professionnels pour identifier l’origine du problème, facturable sur</w:t>
      </w:r>
      <w:r>
        <w:t xml:space="preserve"> </w:t>
      </w:r>
      <w:r>
        <w:t xml:space="preserve">accord préalable par tranche de 30mn.</w:t>
      </w:r>
    </w:p>
    <w:p>
      <w:pPr>
        <w:pStyle w:val="BodyText"/>
      </w:pPr>
      <w:r>
        <w:t xml:space="preserve">Dans le cas où l’Incident est de la responsabilité du Prestataire ou de</w:t>
      </w:r>
      <w:r>
        <w:t xml:space="preserve"> </w:t>
      </w:r>
      <w:r>
        <w:t xml:space="preserve">l’un de ses sous-traitants, celui-ci complète le diagnostic et s’attèle</w:t>
      </w:r>
      <w:r>
        <w:t xml:space="preserve"> </w:t>
      </w:r>
      <w:r>
        <w:t xml:space="preserve">à la restauration du Service sans frais supplémentaires. Le diagnostic</w:t>
      </w:r>
      <w:r>
        <w:t xml:space="preserve"> </w:t>
      </w:r>
      <w:r>
        <w:t xml:space="preserve">s’appuie sur les échanges entre les Parties et les données du</w:t>
      </w:r>
      <w:r>
        <w:t xml:space="preserve"> </w:t>
      </w:r>
      <w:r>
        <w:t xml:space="preserve">Proveedor, estos elementos se consideran convincentes por acuerdo de</w:t>
      </w:r>
      <w:r>
        <w:t xml:space="preserve"> </w:t>
      </w:r>
      <w:r>
        <w:t xml:space="preserve">Regiones.</w:t>
      </w:r>
    </w:p>
    <w:bookmarkEnd w:id="44"/>
    <w:bookmarkStart w:id="45" w:name="proceso-de-priorización-de-tratamientos"/>
    <w:p>
      <w:pPr>
        <w:pStyle w:val="Heading3"/>
      </w:pPr>
      <w:r>
        <w:t xml:space="preserve">7.6.4.Proceso de priorización de tratamientos</w:t>
      </w:r>
    </w:p>
    <w:p>
      <w:pPr>
        <w:pStyle w:val="FirstParagraph"/>
      </w:pPr>
      <w:r>
        <w:t xml:space="preserve">La determinación del nivel de prioridad de un archivo se basa en un</w:t>
      </w:r>
      <w:r>
        <w:t xml:space="preserve"> </w:t>
      </w:r>
      <w:r>
        <w:t xml:space="preserve">Análisis de matriz que evalúa el impacto del incidente y su grado de</w:t>
      </w:r>
      <w:r>
        <w:t xml:space="preserve"> </w:t>
      </w:r>
      <w:r>
        <w:t xml:space="preserve">Crítica:</w:t>
      </w:r>
    </w:p>
    <w:p>
      <w:pPr>
        <w:pStyle w:val="Compact"/>
        <w:numPr>
          <w:ilvl w:val="0"/>
          <w:numId w:val="1009"/>
        </w:numPr>
      </w:pPr>
      <w:r>
        <w:t xml:space="preserve">Los niveles de impacto se definen de la siguiente manera: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1146"/>
        <w:gridCol w:w="65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vel de desc</w:t>
            </w:r>
            <w:r>
              <w:t xml:space="preserve"> </w:t>
            </w:r>
            <w:r>
              <w:t xml:space="preserve">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 ou les services du Prestataire sont interrompus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 ou les services du Prestataire sont dégradés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 ou les services du Prestataire sont actuellement stable,</w:t>
            </w:r>
            <w:r>
              <w:t xml:space="preserve"> </w:t>
            </w:r>
            <w:r>
              <w:t xml:space="preserve">mais montrent des signes de potentiel déclin à long terme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Les niveaux de Criticités sont définis de la manière suivante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Nivel de descripción</w:t>
            </w:r>
            <w:r>
              <w:t xml:space="preserve"> </w:t>
            </w:r>
            <w:r>
              <w:t xml:space="preserve">criticidad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Los proveedores de servicios se deterioran a un</w:t>
            </w:r>
            <w:r>
              <w:t xml:space="preserve"> </w:t>
            </w:r>
            <w:r>
              <w:t xml:space="preserve">C1 Velocidad de preocupación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que los proveedores de servicios se deterioran</w:t>
            </w:r>
            <w:r>
              <w:t xml:space="preserve"> </w:t>
            </w:r>
            <w:r>
              <w:t xml:space="preserve">C2 gradualmente con el tiempo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 El (s) proveedor (s) de servicios presenta uno o más</w:t>
            </w:r>
            <w:r>
              <w:t xml:space="preserve"> </w:t>
            </w:r>
            <w:r>
              <w:t xml:space="preserve">C3 inconvenient sans conséquence significative</w:t>
            </w:r>
          </w:p>
        </w:tc>
      </w:tr>
    </w:tbl>
    <w:p>
      <w:pPr>
        <w:numPr>
          <w:ilvl w:val="0"/>
          <w:numId w:val="1011"/>
        </w:numPr>
      </w:pPr>
      <w:r>
        <w:t xml:space="preserve">Sur la base d’une analyse approfondie de la situation, prenant en</w:t>
      </w:r>
      <w:r>
        <w:t xml:space="preserve"> </w:t>
      </w:r>
      <w:r>
        <w:t xml:space="preserve">compte les éléments déterminant l’Impact et la Criticité, une priorité</w:t>
      </w:r>
      <w:r>
        <w:t xml:space="preserve"> </w:t>
      </w:r>
      <w:r>
        <w:t xml:space="preserve">est attribuée au ticket conformément à la matrice de décision ci-après</w:t>
      </w:r>
      <w:r>
        <w:t xml:space="preserve"> </w:t>
      </w:r>
      <w:r>
        <w:t xml:space="preserve">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Niveau d’impact  Niveau de Impact I1 Impact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</w:tr>
    </w:tbl>
    <w:p>
      <w:pPr>
        <w:numPr>
          <w:ilvl w:val="0"/>
          <w:numId w:val="1000"/>
        </w:numPr>
      </w:pPr>
      <w:r>
        <w:t xml:space="preserve">Crítica C1 Prioridad Prioridad</w:t>
      </w:r>
      <w:r>
        <w:t xml:space="preserve"> </w:t>
      </w:r>
      <w:r>
        <w:t xml:space="preserve">** P1 ** ** P2 ** ** P3 **</w:t>
      </w:r>
    </w:p>
    <w:p>
      <w:pPr>
        <w:pStyle w:val="FirstParagraph"/>
      </w:pPr>
      <w:r>
        <w:t xml:space="preserve">Crítica C2 Prioridad Prioridad</w:t>
      </w:r>
      <w:r>
        <w:t xml:space="preserve"> </w:t>
      </w:r>
      <w:r>
        <w:t xml:space="preserve">** P2 ** ** P3 ** ** P4 **</w:t>
      </w:r>
    </w:p>
    <w:p>
      <w:pPr>
        <w:pStyle w:val="BodyText"/>
      </w:pPr>
      <w:r>
        <w:t xml:space="preserve">Crítica C3 Prioridad Prioridad Prioridad</w:t>
      </w:r>
      <w:r>
        <w:t xml:space="preserve"> </w:t>
      </w:r>
      <w:r>
        <w:rPr>
          <w:b/>
          <w:bCs/>
        </w:rPr>
        <w:t xml:space="preserve">P3</w:t>
      </w:r>
      <w:r>
        <w:t xml:space="preserve"> </w:t>
      </w:r>
      <w:r>
        <w:rPr>
          <w:b/>
          <w:bCs/>
        </w:rPr>
        <w:t xml:space="preserve">P4</w:t>
      </w:r>
      <w:r>
        <w:t xml:space="preserve"> </w:t>
      </w:r>
      <w:r>
        <w:rPr>
          <w:b/>
          <w:bCs/>
        </w:rPr>
        <w:t xml:space="preserve">P5</w:t>
      </w:r>
      <w:r>
        <w:t xml:space="preserve"> </w:t>
      </w:r>
      <w:r>
        <w:t xml:space="preserve">————————————————————————-</w:t>
      </w:r>
    </w:p>
    <w:p>
      <w:pPr>
        <w:pStyle w:val="BodyText"/>
      </w:pPr>
      <w:r>
        <w:t xml:space="preserve">Les engagements de niveau de service correspondant à chaque niveau de</w:t>
      </w:r>
      <w:r>
        <w:t xml:space="preserve"> </w:t>
      </w:r>
      <w:r>
        <w:t xml:space="preserve">priorité sont détaillés dans le chapitre suivant.</w:t>
      </w:r>
    </w:p>
    <w:bookmarkEnd w:id="45"/>
    <w:bookmarkStart w:id="46" w:name="X173001d22a6efce0459be0000928d280647541b"/>
    <w:p>
      <w:pPr>
        <w:pStyle w:val="Heading3"/>
      </w:pPr>
      <w:r>
        <w:t xml:space="preserve">7.6.5. Langue et localisation du service de support</w:t>
      </w:r>
    </w:p>
    <w:p>
      <w:pPr>
        <w:pStyle w:val="FirstParagraph"/>
      </w:pPr>
      <w:r>
        <w:t xml:space="preserve">Le support est fourni par le Prestataire au COMMANDITAIRE a minima en</w:t>
      </w:r>
      <w:r>
        <w:t xml:space="preserve"> </w:t>
      </w:r>
      <w:r>
        <w:t xml:space="preserve">langue française. Le support peut être également fourni en langue</w:t>
      </w:r>
      <w:r>
        <w:t xml:space="preserve"> </w:t>
      </w:r>
      <w:r>
        <w:t xml:space="preserve">anglaise.</w:t>
      </w:r>
    </w:p>
    <w:p>
      <w:pPr>
        <w:pStyle w:val="BodyText"/>
      </w:pPr>
      <w:r>
        <w:t xml:space="preserve">Las operaciones del servicio de soporte del proveedor para la oferta de</w:t>
      </w:r>
      <w:r>
        <w:t xml:space="preserve"> </w:t>
      </w:r>
      <w:r>
        <w:t xml:space="preserve">El servicio de infraestructura calificado de SecnumCloud se encuentra en la Unión</w:t>
      </w:r>
      <w:r>
        <w:t xml:space="preserve"> </w:t>
      </w:r>
      <w:r>
        <w:t xml:space="preserve">Europeo.</w:t>
      </w:r>
    </w:p>
    <w:bookmarkEnd w:id="46"/>
    <w:bookmarkEnd w:id="47"/>
    <w:bookmarkEnd w:id="48"/>
    <w:bookmarkStart w:id="54" w:name="compromisos-y-niveles-de-servicio"/>
    <w:p>
      <w:pPr>
        <w:pStyle w:val="Heading1"/>
      </w:pPr>
      <w:r>
        <w:t xml:space="preserve">8. Compromisos y niveles de servicio</w:t>
      </w:r>
    </w:p>
    <w:p>
      <w:pPr>
        <w:pStyle w:val="FirstParagraph"/>
      </w:pPr>
      <w:r>
        <w:t xml:space="preserve">El proveedor de servicios se compromete a garantizar el monitoreo continuo de</w:t>
      </w:r>
      <w:r>
        <w:t xml:space="preserve"> </w:t>
      </w:r>
      <w:r>
        <w:t xml:space="preserve">Integridad de rendimiento e seguridad de su infraestructura</w:t>
      </w:r>
      <w:r>
        <w:t xml:space="preserve"> </w:t>
      </w:r>
      <w:r>
        <w:t xml:space="preserve">Técnica entregando el servicio, asegurando su operación óptima.</w:t>
      </w:r>
    </w:p>
    <w:p>
      <w:pPr>
        <w:pStyle w:val="BodyText"/>
      </w:pPr>
      <w:r>
        <w:t xml:space="preserve">La falta de disponibilidad de un servicio, estar sujeto a un indicador de</w:t>
      </w:r>
      <w:r>
        <w:t xml:space="preserve"> </w:t>
      </w:r>
      <w:r>
        <w:t xml:space="preserve">performance, est reconnue dès son identification par le système de</w:t>
      </w:r>
      <w:r>
        <w:t xml:space="preserve"> </w:t>
      </w:r>
      <w:r>
        <w:t xml:space="preserve">supervision du Prestataire, ou suite à une notification par un</w:t>
      </w:r>
      <w:r>
        <w:t xml:space="preserve"> </w:t>
      </w:r>
      <w:r>
        <w:t xml:space="preserve">utilisateur du COMMANDITAIRE. Le début de l’indisponibilité est fixé au</w:t>
      </w:r>
      <w:r>
        <w:t xml:space="preserve"> </w:t>
      </w:r>
      <w:r>
        <w:t xml:space="preserve">moment le plus précoce entre ces deux événements, afin de garantir un</w:t>
      </w:r>
      <w:r>
        <w:t xml:space="preserve"> </w:t>
      </w:r>
      <w:r>
        <w:t xml:space="preserve">décompte précis et juste du temps d’indisponibilité.</w:t>
      </w:r>
    </w:p>
    <w:p>
      <w:pPr>
        <w:pStyle w:val="BodyText"/>
      </w:pPr>
      <w:r>
        <w:t xml:space="preserve">La fin de l’indisponibilité est officiellement marquée par la</w:t>
      </w:r>
      <w:r>
        <w:t xml:space="preserve"> </w:t>
      </w:r>
      <w:r>
        <w:t xml:space="preserve">restauration complète du service, confirmée soit par les outils de</w:t>
      </w:r>
      <w:r>
        <w:t xml:space="preserve"> </w:t>
      </w:r>
      <w:r>
        <w:t xml:space="preserve">supervisión del proveedor de servicios, ya sea por devolución del usuario, asegurando</w:t>
      </w:r>
      <w:r>
        <w:t xml:space="preserve"> </w:t>
      </w:r>
      <w:r>
        <w:t xml:space="preserve">Por lo tanto, una recuperación efectiva de las operaciones y una medida fiel de la</w:t>
      </w:r>
      <w:r>
        <w:t xml:space="preserve"> </w:t>
      </w:r>
      <w:r>
        <w:t xml:space="preserve">Duración de la interrupción.</w:t>
      </w:r>
    </w:p>
    <w:bookmarkStart w:id="49" w:name="Xd22d7bb06a44b200e98320f3c587fafbae4bec4"/>
    <w:p>
      <w:pPr>
        <w:pStyle w:val="Heading2"/>
      </w:pPr>
      <w:r>
        <w:t xml:space="preserve">8.1.Compromisos de disponibilidad de infraestructura</w:t>
      </w:r>
    </w:p>
    <w:p>
      <w:pPr>
        <w:pStyle w:val="FirstParagraph"/>
      </w:pPr>
      <w:r>
        <w:t xml:space="preserve">El proveedor de servicios se compromete a mantener un nivel de disponibilidad y</w:t>
      </w:r>
      <w:r>
        <w:t xml:space="preserve"> </w:t>
      </w:r>
      <w:r>
        <w:t xml:space="preserve">rendimiento de acuerdo con los estándares definidos para cada período</w:t>
      </w:r>
      <w:r>
        <w:t xml:space="preserve"> </w:t>
      </w:r>
      <w:r>
        <w:t xml:space="preserve">especificado.Compromisos a nivel de servicio (servicio de nivel</w:t>
      </w:r>
      <w:r>
        <w:t xml:space="preserve"> </w:t>
      </w:r>
      <w:r>
        <w:t xml:space="preserve">Acuerdos, SLAS) aplicar siempre que el patrocinador</w:t>
      </w:r>
      <w:r>
        <w:t xml:space="preserve"> </w:t>
      </w:r>
      <w:r>
        <w:t xml:space="preserve">implementa sus sistemas a través de al menos dos de las áreas de</w:t>
      </w:r>
      <w:r>
        <w:t xml:space="preserve"> </w:t>
      </w:r>
      <w:r>
        <w:t xml:space="preserve">Disponibilidad presente en la región en cuestión.</w:t>
      </w:r>
    </w:p>
    <w:p>
      <w:pPr>
        <w:pStyle w:val="BodyText"/>
      </w:pPr>
      <w:r>
        <w:t xml:space="preserve">En ausencia de cumplimiento de estas condiciones por parte del patrocinador, esto</w:t>
      </w:r>
      <w:r>
        <w:t xml:space="preserve"> </w:t>
      </w:r>
      <w:r>
        <w:t xml:space="preserve">no podrá reclamar la aplicación de SLA</w:t>
      </w:r>
      <w:r>
        <w:t xml:space="preserve"> </w:t>
      </w:r>
      <w:r>
        <w:t xml:space="preserve">preocupado, que se identifican específicamente por un asterisco</w:t>
      </w:r>
      <w:r>
        <w:t xml:space="preserve"> </w:t>
      </w:r>
      <w:r>
        <w:t xml:space="preserve">(*).La accesibilidad a SLAS se realiza a través de la interfaz del patrocinador.</w:t>
      </w:r>
      <w:r>
        <w:t xml:space="preserve"> </w:t>
      </w:r>
      <w:r>
        <w:t xml:space="preserve">Las medidas se calculan mensualmente:</w:t>
      </w:r>
      <w:r>
        <w:t xml:space="preserve"> </w:t>
      </w:r>
      <w:r>
        <w:t xml:space="preserve">-**SLA 1 (*): IC-INFRA_SNC-01 **-Disponibilidad de potencia</w:t>
      </w:r>
      <w:r>
        <w:t xml:space="preserve"> </w:t>
      </w:r>
      <w:r>
        <w:t xml:space="preserve">Cálculo (cálculo): tasa de disponibilidad garantizada del 99.99%, calculada</w:t>
      </w:r>
      <w:r>
        <w:t xml:space="preserve"> </w:t>
      </w:r>
      <w:r>
        <w:t xml:space="preserve">En una base de 24 horas, 7 días a la semana.</w:t>
      </w:r>
      <w:r>
        <w:t xml:space="preserve"> </w:t>
      </w:r>
      <w:r>
        <w:t xml:space="preserve">-**SLA 2 (*): IC-INFRA_SNC-02 **-Disponibilidad de almacenamiento:</w:t>
      </w:r>
      <w:r>
        <w:t xml:space="preserve"> </w:t>
      </w:r>
      <w:r>
        <w:t xml:space="preserve">Tasa de disponibilidad garantizada del 99.99%, calculada en una base de 24 horas,</w:t>
      </w:r>
      <w:r>
        <w:t xml:space="preserve"> </w:t>
      </w:r>
      <w:r>
        <w:t xml:space="preserve">7 días a la semana.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-Confiabilidad de la copia de seguridad: tasa de</w:t>
      </w:r>
      <w:r>
        <w:rPr>
          <w:b/>
          <w:bCs/>
        </w:rPr>
        <w:t xml:space="preserve"> </w:t>
      </w:r>
      <w:r>
        <w:rPr>
          <w:b/>
          <w:bCs/>
        </w:rPr>
        <w:t xml:space="preserve">Disponibilidad garantizada del 99.99%, calculada en una base de 24 horas, 7 días a la semana.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**-Disponibilidad de</w:t>
      </w:r>
      <w:r>
        <w:rPr>
          <w:b/>
          <w:bCs/>
        </w:rPr>
        <w:t xml:space="preserve"> </w:t>
      </w:r>
      <w:r>
        <w:rPr>
          <w:b/>
          <w:bCs/>
        </w:rPr>
        <w:t xml:space="preserve">Infraestructura de red: tasa de disponibilidad garantizada del 99.99%,</w:t>
      </w:r>
      <w:r>
        <w:rPr>
          <w:b/>
          <w:bCs/>
        </w:rPr>
        <w:t xml:space="preserve"> </w:t>
      </w:r>
      <w:r>
        <w:rPr>
          <w:b/>
          <w:bCs/>
        </w:rPr>
        <w:t xml:space="preserve">Calculado en una base de 24 horas, 7 días a la semana.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**-Acceso a Internet: tarifa de disponibilidad</w:t>
      </w:r>
      <w:r>
        <w:t xml:space="preserve"> </w:t>
      </w:r>
      <w:r>
        <w:t xml:space="preserve">Garantizado 99.99%, calculado en una base de 24 horas, 7 días a la semana.</w:t>
      </w:r>
    </w:p>
    <w:p>
      <w:pPr>
        <w:pStyle w:val="BodyText"/>
      </w:pPr>
      <w:r>
        <w:t xml:space="preserve">*** Observaciones ***:</w:t>
      </w:r>
    </w:p>
    <w:p>
      <w:pPr>
        <w:numPr>
          <w:ilvl w:val="0"/>
          <w:numId w:val="1012"/>
        </w:numPr>
      </w:pPr>
      <w:r>
        <w:rPr>
          <w:i/>
          <w:iCs/>
        </w:rPr>
        <w:t xml:space="preserve">En respuesta, un ataque por negación del servicio distribuido (DDoS), el</w:t>
      </w:r>
      <w:r>
        <w:rPr>
          <w:i/>
          <w:iCs/>
        </w:rPr>
        <w:t xml:space="preserve"> </w:t>
      </w:r>
      <w:r>
        <w:rPr>
          <w:i/>
          <w:iCs/>
        </w:rPr>
        <w:t xml:space="preserve">El proveedor se reserva el derecho de ajustar su configuración de enrutamiento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para limitar el impacto de este ataque y guardar tu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infraestructura.En particular, si una dirección IP perteneciente a</w:t>
      </w:r>
      <w:r>
        <w:rPr>
          <w:i/>
          <w:iCs/>
        </w:rPr>
        <w:t xml:space="preserve"> </w:t>
      </w:r>
      <w:r>
        <w:rPr>
          <w:i/>
          <w:iCs/>
        </w:rPr>
        <w:t xml:space="preserve">El patrocinador está dirigido, el proveedor de servicios puede usar la técnica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a través de la comunidad BGP para bloquear todo el tráfico a</w:t>
      </w:r>
      <w:r>
        <w:rPr>
          <w:i/>
          <w:iCs/>
        </w:rPr>
        <w:t xml:space="preserve"> </w:t>
      </w:r>
      <w:r>
        <w:rPr>
          <w:i/>
          <w:iCs/>
        </w:rPr>
        <w:t xml:space="preserve">la dirección IP aguas arriba en sus proveedores, para</w:t>
      </w:r>
      <w:r>
        <w:rPr>
          <w:i/>
          <w:iCs/>
        </w:rPr>
        <w:t xml:space="preserve"> </w:t>
      </w:r>
      <w:r>
        <w:rPr>
          <w:i/>
          <w:iCs/>
        </w:rPr>
        <w:t xml:space="preserve">proteger los recursos del patrocinador y los de los demás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Patrocinadores e infraestructura del proveedor de servicios.El proveedor</w:t>
      </w:r>
      <w:r>
        <w:rPr>
          <w:i/>
          <w:iCs/>
        </w:rPr>
        <w:t xml:space="preserve"> </w:t>
      </w:r>
      <w:r>
        <w:rPr>
          <w:i/>
          <w:iCs/>
        </w:rPr>
        <w:t xml:space="preserve">alienta al patrocinador a adoptar medidas similares,</w:t>
      </w:r>
      <w:r>
        <w:rPr>
          <w:i/>
          <w:iCs/>
        </w:rPr>
        <w:t xml:space="preserve"> </w:t>
      </w:r>
      <w:r>
        <w:rPr>
          <w:i/>
          <w:iCs/>
        </w:rPr>
        <w:t xml:space="preserve">como el uso del software de firewall de aplicaciones web</w:t>
      </w:r>
      <w:r>
        <w:rPr>
          <w:i/>
          <w:iCs/>
        </w:rPr>
        <w:t xml:space="preserve"> </w:t>
      </w:r>
      <w:r>
        <w:rPr>
          <w:i/>
          <w:iCs/>
        </w:rPr>
        <w:t xml:space="preserve">Disponible en el mercado y para configurar cuidadosamente sus grupos</w:t>
      </w:r>
      <w:r>
        <w:rPr>
          <w:i/>
          <w:iCs/>
        </w:rPr>
        <w:t xml:space="preserve"> </w:t>
      </w:r>
      <w:r>
        <w:rPr>
          <w:i/>
          <w:iCs/>
        </w:rPr>
        <w:t xml:space="preserve">Seguridad a través de la API de control.</w:t>
      </w:r>
    </w:p>
    <w:p>
      <w:pPr>
        <w:numPr>
          <w:ilvl w:val="0"/>
          <w:numId w:val="1012"/>
        </w:numPr>
      </w:pPr>
      <w:r>
        <w:rPr>
          <w:i/>
          <w:iCs/>
        </w:rPr>
        <w:t xml:space="preserve">El proveedor de servicios insiste en la necesidad del patrocinador de</w:t>
      </w:r>
      <w:r>
        <w:rPr>
          <w:i/>
          <w:iCs/>
        </w:rPr>
        <w:t xml:space="preserve"> </w:t>
      </w:r>
      <w:r>
        <w:rPr>
          <w:i/>
          <w:iCs/>
        </w:rPr>
        <w:t xml:space="preserve">minimizar las aberturas de flujo, evitando especialmente hacer</w:t>
      </w:r>
      <w:r>
        <w:rPr>
          <w:i/>
          <w:iCs/>
        </w:rPr>
        <w:t xml:space="preserve"> </w:t>
      </w:r>
      <w:r>
        <w:rPr>
          <w:i/>
          <w:iCs/>
        </w:rPr>
        <w:t xml:space="preserve">Puertos de administración accesibles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22) 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 3389) depuis l’ensemble d’Internet (sous-réseau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ainsi que les protocoles internes tels que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ou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TCP/UDP 2049).</w:t>
      </w:r>
    </w:p>
    <w:bookmarkEnd w:id="49"/>
    <w:bookmarkStart w:id="50" w:name="Xcba4483c3c89f06a7fdc13e93744df56f33d13a"/>
    <w:p>
      <w:pPr>
        <w:pStyle w:val="Heading2"/>
      </w:pPr>
      <w:r>
        <w:t xml:space="preserve">8.2. Engagement de disponibilité de l’interface COMMANDITAIRE</w:t>
      </w:r>
    </w:p>
    <w:p>
      <w:pPr>
        <w:pStyle w:val="Compact"/>
        <w:numPr>
          <w:ilvl w:val="0"/>
          <w:numId w:val="1013"/>
        </w:numPr>
      </w:pPr>
      <w:r>
        <w:t xml:space="preserve">SLA 6 : IC-INFRA_SNC-06 – Accès à la console d’administration du</w:t>
      </w:r>
      <w:r>
        <w:t xml:space="preserve"> </w:t>
      </w:r>
      <w:r>
        <w:t xml:space="preserve">Service : une disponibilité garantie de 97%, assurée en continu, 24</w:t>
      </w:r>
      <w:r>
        <w:t xml:space="preserve"> </w:t>
      </w:r>
      <w:r>
        <w:t xml:space="preserve">heures sur 24 et 7 jours sur 7.</w:t>
      </w:r>
    </w:p>
    <w:p>
      <w:pPr>
        <w:pStyle w:val="Compact"/>
        <w:numPr>
          <w:ilvl w:val="0"/>
          <w:numId w:val="1013"/>
        </w:numPr>
      </w:pPr>
      <w:r>
        <w:t xml:space="preserve">SLA 7 : IC-INFRA_SNC-07 – Accès aux APIs de pilotage du Service : une</w:t>
      </w:r>
      <w:r>
        <w:t xml:space="preserve"> </w:t>
      </w:r>
      <w:r>
        <w:t xml:space="preserve">Disponibilidad del 99.9%, calculada en una base de 24 horas, 7 días a la semana.</w:t>
      </w:r>
    </w:p>
    <w:bookmarkEnd w:id="50"/>
    <w:bookmarkStart w:id="51" w:name="compromiso-de-disponibilidad-de-soporte"/>
    <w:p>
      <w:pPr>
        <w:pStyle w:val="Heading2"/>
      </w:pPr>
      <w:r>
        <w:t xml:space="preserve">8.3.Compromiso de disponibilidad de soporte</w:t>
      </w:r>
    </w:p>
    <w:p>
      <w:pPr>
        <w:pStyle w:val="FirstParagraph"/>
      </w:pPr>
      <w:r>
        <w:t xml:space="preserve">-** SLA 8: IC-INFRA_SNC-08 **-Aquí están los compromisos de rendimiento de</w:t>
      </w:r>
      <w:r>
        <w:t xml:space="preserve"> </w:t>
      </w:r>
      <w:r>
        <w:t xml:space="preserve">Soporte técnico del proveedor de incidentes, excluyendo el mantenimiento</w:t>
      </w:r>
      <w:r>
        <w:t xml:space="preserve"> </w:t>
      </w:r>
      <w:r>
        <w:t xml:space="preserve">Programado: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67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Prioridad Gara</w:t>
            </w:r>
            <w:r>
              <w:t xml:space="preserve"> </w:t>
            </w:r>
            <w:r>
              <w:t xml:space="preserve">(GTI) rendimie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ntizada Tiempo de intervención Objetivo de</w:t>
            </w:r>
            <w:r>
              <w:t xml:space="preserve"> </w:t>
            </w:r>
            <w:r>
              <w:t xml:space="preserve">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30mn</w:t>
            </w:r>
            <w:r>
              <w:t xml:space="preserve"> </w:t>
            </w:r>
            <w:r>
              <w:t xml:space="preserve">** P1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2h 9</w:t>
            </w:r>
            <w:r>
              <w:t xml:space="preserve"> </w:t>
            </w:r>
            <w:r>
              <w:t xml:space="preserve">** P2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4H 9</w:t>
            </w:r>
            <w:r>
              <w:t xml:space="preserve"> </w:t>
            </w:r>
            <w:r>
              <w:t xml:space="preserve">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24h</w:t>
            </w:r>
            <w:r>
              <w:t xml:space="preserve"> </w:t>
            </w:r>
            <w:r>
              <w:t xml:space="preserve">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Prioridad 48h</w:t>
            </w:r>
            <w:r>
              <w:t xml:space="preserve"> </w:t>
            </w:r>
            <w:r>
              <w:t xml:space="preserve">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</w:tbl>
    <w:p>
      <w:pPr>
        <w:pStyle w:val="BodyText"/>
      </w:pPr>
      <w:r>
        <w:t xml:space="preserve">-** SLA 9: IC-INFRA_SNC-09 **-Aquí están los compromisos de rendimiento de</w:t>
      </w:r>
      <w:r>
        <w:t xml:space="preserve"> </w:t>
      </w:r>
      <w:r>
        <w:t xml:space="preserve">Soporte técnico del proveedor de solicitudes de servicio: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21"/>
        <w:gridCol w:w="67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Tiempo de interv</w:t>
            </w:r>
            <w:r>
              <w:t xml:space="preserve"> </w:t>
            </w:r>
            <w:r>
              <w:t xml:space="preserve">(GTI) rendimient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ención objetiva Garantía de</w:t>
            </w:r>
            <w:r>
              <w:t xml:space="preserve"> </w:t>
            </w:r>
            <w:r>
              <w:t xml:space="preserve">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Solicitud de 4 h</w:t>
            </w:r>
            <w:r>
              <w:t xml:space="preserve"> </w:t>
            </w:r>
            <w:r>
              <w:t xml:space="preserve">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oras 90%</w:t>
            </w:r>
          </w:p>
        </w:tc>
      </w:tr>
    </w:tbl>
    <w:p>
      <w:pPr>
        <w:numPr>
          <w:ilvl w:val="0"/>
          <w:numId w:val="1014"/>
        </w:numPr>
      </w:pPr>
      <w:r>
        <w:t xml:space="preserve">Nota*: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La fecha límite para la garantía de tiempo de intervención (GTI) se calcula en</w:t>
      </w:r>
      <w:r>
        <w:rPr>
          <w:i/>
          <w:iCs/>
        </w:rPr>
        <w:t xml:space="preserve"> </w:t>
      </w:r>
      <w:r>
        <w:rPr>
          <w:i/>
          <w:iCs/>
        </w:rPr>
        <w:t xml:space="preserve">a partir de la diferencia entre el momento en que el patrocinador abre el</w:t>
      </w:r>
      <w:r>
        <w:rPr>
          <w:i/>
          <w:iCs/>
        </w:rPr>
        <w:t xml:space="preserve"> </w:t>
      </w:r>
      <w:r>
        <w:rPr>
          <w:i/>
          <w:iCs/>
        </w:rPr>
        <w:t xml:space="preserve">boleto y la primera intervención del apoyo del proveedor.</w:t>
      </w:r>
    </w:p>
    <w:p>
      <w:pPr>
        <w:numPr>
          <w:ilvl w:val="0"/>
          <w:numId w:val="1014"/>
        </w:numPr>
      </w:pPr>
      <w:r>
        <w:rPr>
          <w:i/>
          <w:iCs/>
        </w:rPr>
        <w:t xml:space="preserve">Investigación de incidentes sobre patrocinadores</w:t>
      </w:r>
      <w:r>
        <w:rPr>
          <w:i/>
          <w:iCs/>
        </w:rPr>
        <w:t xml:space="preserve"> </w:t>
      </w:r>
      <w:r>
        <w:rPr>
          <w:i/>
          <w:iCs/>
        </w:rPr>
        <w:t xml:space="preserve">no incluirá una intervención remota en los servidores acomodados del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Patrocinador.Esta asistencia se limitará a la explicación de</w:t>
      </w:r>
      <w:r>
        <w:rPr>
          <w:i/>
          <w:iCs/>
        </w:rPr>
        <w:t xml:space="preserve"> </w:t>
      </w:r>
      <w:r>
        <w:rPr>
          <w:i/>
          <w:iCs/>
        </w:rPr>
        <w:t xml:space="preserve">métricas disponibles relacionadas con el entorno del patrocinador,</w:t>
      </w:r>
      <w:r>
        <w:rPr>
          <w:i/>
          <w:iCs/>
        </w:rPr>
        <w:t xml:space="preserve"> </w:t>
      </w:r>
      <w:r>
        <w:rPr>
          <w:i/>
          <w:iCs/>
        </w:rPr>
        <w:t xml:space="preserve">Para facilitar la comprensión de los incidentes o problemas de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rencontrés. Sur la base des résultats de cette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des recommandations pourront être suggérées.</w:t>
      </w:r>
    </w:p>
    <w:bookmarkEnd w:id="51"/>
    <w:bookmarkStart w:id="52" w:name="X77280f6a325b33c042c2a1a3bd895813b089884"/>
    <w:p>
      <w:pPr>
        <w:pStyle w:val="Heading2"/>
      </w:pPr>
      <w:r>
        <w:t xml:space="preserve">8.4. Engagement de disponibilité du stockage objet S3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SLA 10 : IC-INFRA_SNC-10</w:t>
      </w:r>
      <w:r>
        <w:t xml:space="preserve"> </w:t>
      </w:r>
      <w:r>
        <w:t xml:space="preserve">– Voici les engagements de disponibilité</w:t>
      </w:r>
      <w:r>
        <w:t xml:space="preserve"> </w:t>
      </w:r>
      <w:r>
        <w:t xml:space="preserve">pour le stockage objet S3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Indicateur Engagement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</w:tr>
    </w:tbl>
    <w:p>
      <w:pPr>
        <w:numPr>
          <w:ilvl w:val="0"/>
          <w:numId w:val="1000"/>
        </w:numPr>
      </w:pPr>
      <w:r>
        <w:t xml:space="preserve">IC-INFRA-SNC-10.1 Durabilidad del almacenamiento de un objeto de 99,99999999% / año</w:t>
      </w:r>
      <w:r>
        <w:t xml:space="preserve"> </w:t>
      </w:r>
      <w:r>
        <w:t xml:space="preserve">una región</w:t>
      </w:r>
    </w:p>
    <w:p>
      <w:pPr>
        <w:pStyle w:val="FirstParagraph"/>
      </w:pPr>
      <w:r>
        <w:t xml:space="preserve">IC-INFRA-SNC-12</w:t>
      </w:r>
      <w:r>
        <w:t xml:space="preserve"> </w:t>
      </w:r>
      <w:r>
        <w:t xml:space="preserve">S3</w:t>
      </w:r>
    </w:p>
    <w:p>
      <w:pPr>
        <w:pStyle w:val="BodyText"/>
      </w:pPr>
      <w:r>
        <w:t xml:space="preserve">IC-INFRA-SNC-10.3 Acceso máximo a un objeto 150 ms</w:t>
      </w:r>
      <w:r>
        <w:t xml:space="preserve"> </w:t>
      </w:r>
      <w:r>
        <w:t xml:space="preserve">sur une région</w:t>
      </w:r>
      <w:r>
        <w:br/>
      </w:r>
      <w:r>
        <w:t xml:space="preserve">——————————————————————————</w:t>
      </w:r>
    </w:p>
    <w:p>
      <w:pPr>
        <w:pStyle w:val="BodyText"/>
      </w:pPr>
      <w:r>
        <w:t xml:space="preserve">Remarques :</w:t>
      </w:r>
    </w:p>
    <w:p>
      <w:pPr>
        <w:pStyle w:val="Compact"/>
        <w:numPr>
          <w:ilvl w:val="0"/>
          <w:numId w:val="1016"/>
        </w:numPr>
      </w:pPr>
      <w:r>
        <w:t xml:space="preserve">Le Service de Stockage Objet est spécifiquement conçu pour le stockage</w:t>
      </w:r>
      <w:r>
        <w:t xml:space="preserve"> </w:t>
      </w:r>
      <w:r>
        <w:t xml:space="preserve">d’objets et doit être employé dans ce seul but,</w:t>
      </w:r>
      <w:r>
        <w:t xml:space="preserve"> </w:t>
      </w:r>
      <w:r>
        <w:rPr>
          <w:b/>
          <w:bCs/>
        </w:rPr>
        <w:t xml:space="preserve">excluant</w:t>
      </w:r>
      <w:r>
        <w:rPr>
          <w:b/>
          <w:bCs/>
        </w:rPr>
        <w:t xml:space="preserve"> </w:t>
      </w:r>
      <w:r>
        <w:rPr>
          <w:b/>
          <w:bCs/>
        </w:rPr>
        <w:t xml:space="preserve">catégoriquement son utilisation en mode bloc</w:t>
      </w:r>
      <w:r>
        <w:t xml:space="preserve">. Recourir au mode bloc</w:t>
      </w:r>
      <w:r>
        <w:t xml:space="preserve"> </w:t>
      </w:r>
      <w:r>
        <w:t xml:space="preserve">par des méthodes détournées, incluant par exemple l’utilisation de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dans un environnement Linux</w:t>
      </w:r>
      <w:r>
        <w:t xml:space="preserve">, constitue une infraction aux</w:t>
      </w:r>
      <w:r>
        <w:t xml:space="preserve"> </w:t>
      </w:r>
      <w:r>
        <w:t xml:space="preserve">Términos de uso establecidos.Sin incidente, disfunción o</w:t>
      </w:r>
      <w:r>
        <w:t xml:space="preserve"> </w:t>
      </w:r>
      <w:r>
        <w:t xml:space="preserve">El daño resultante de este uso no complementario no estará cubierto por</w:t>
      </w:r>
      <w:r>
        <w:t xml:space="preserve"> </w:t>
      </w:r>
      <w:r>
        <w:t xml:space="preserve">Acuerdos de nivel de servicio (SLA) definidos en este Acuerdo</w:t>
      </w:r>
      <w:r>
        <w:t xml:space="preserve"> </w:t>
      </w:r>
      <w:r>
        <w:t xml:space="preserve">servicios.</w:t>
      </w:r>
    </w:p>
    <w:p>
      <w:pPr>
        <w:pStyle w:val="Compact"/>
        <w:numPr>
          <w:ilvl w:val="0"/>
          <w:numId w:val="1016"/>
        </w:numPr>
      </w:pPr>
      <w:r>
        <w:t xml:space="preserve">La garantía de durabilidad está condicionada al uso de</w:t>
      </w:r>
      <w:r>
        <w:t xml:space="preserve"> </w:t>
      </w:r>
      <w:r>
        <w:t xml:space="preserve">Servicios de acuerdo con las mejores prácticas y estándares actuales, y</w:t>
      </w:r>
      <w:r>
        <w:t xml:space="preserve"> </w:t>
      </w:r>
      <w:r>
        <w:t xml:space="preserve">excluye explícitamente cualquier modificación de los datos, ya sea</w:t>
      </w:r>
      <w:r>
        <w:t xml:space="preserve"> </w:t>
      </w:r>
      <w:r>
        <w:t xml:space="preserve">intencional o accidental, resultante de las acciones tomadas por el</w:t>
      </w:r>
      <w:r>
        <w:t xml:space="preserve"> </w:t>
      </w:r>
      <w:r>
        <w:t xml:space="preserve">Patrocinador.</w:t>
      </w:r>
    </w:p>
    <w:bookmarkEnd w:id="52"/>
    <w:bookmarkStart w:id="53" w:name="X8888257b556f005d664fced238df35c19211fae"/>
    <w:p>
      <w:pPr>
        <w:pStyle w:val="Heading2"/>
      </w:pPr>
      <w:r>
        <w:t xml:space="preserve">8.5.Precisión sobre el compromiso de salvaguardia</w:t>
      </w:r>
    </w:p>
    <w:p>
      <w:pPr>
        <w:pStyle w:val="FirstParagraph"/>
      </w:pPr>
      <w:r>
        <w:t xml:space="preserve">La estrategia de respaldo implementada para el patrocinador es</w:t>
      </w:r>
      <w:r>
        <w:t xml:space="preserve"> </w:t>
      </w:r>
      <w:r>
        <w:t xml:space="preserve">condicionado por suscripción a unidades de trabajo adecuadas.</w:t>
      </w:r>
    </w:p>
    <w:p>
      <w:pPr>
        <w:pStyle w:val="BodyText"/>
      </w:pPr>
      <w:r>
        <w:t xml:space="preserve">El proveedor está comprometido con la provisión de una solución a</w:t>
      </w:r>
      <w:r>
        <w:t xml:space="preserve"> </w:t>
      </w:r>
      <w:r>
        <w:t xml:space="preserve">salvaguardia que permitirá al patrocinador aplicar las políticas de</w:t>
      </w:r>
      <w:r>
        <w:t xml:space="preserve"> </w:t>
      </w:r>
      <w:r>
        <w:t xml:space="preserve">copias de seguridad deseadas.</w:t>
      </w:r>
    </w:p>
    <w:p>
      <w:pPr>
        <w:pStyle w:val="BodyText"/>
      </w:pPr>
      <w:r>
        <w:t xml:space="preserve">Se especifica que el perímetro del proveedor de servicios termina en el</w:t>
      </w:r>
      <w:r>
        <w:t xml:space="preserve"> </w:t>
      </w:r>
      <w:r>
        <w:t xml:space="preserve">provisión de un servicio de respaldo y es el patrocinador de</w:t>
      </w:r>
      <w:r>
        <w:t xml:space="preserve"> </w:t>
      </w:r>
      <w:r>
        <w:t xml:space="preserve">supervisar la ejecución correcta de la ejecución adecuada de</w:t>
      </w:r>
      <w:r>
        <w:t xml:space="preserve"> </w:t>
      </w:r>
      <w:r>
        <w:t xml:space="preserve">Políticas asociadas.</w:t>
      </w:r>
    </w:p>
    <w:p>
      <w:pPr>
        <w:pStyle w:val="BodyText"/>
      </w:pPr>
      <w:r>
        <w:t xml:space="preserve">Se especifica que la gestión de la capacidad de almacenamiento del espacio de</w:t>
      </w:r>
      <w:r>
        <w:t xml:space="preserve"> </w:t>
      </w:r>
      <w:r>
        <w:t xml:space="preserve">almacenamiento dedicado a copias de seguridad, sigue siendo responsabilidad y responsabilidad de</w:t>
      </w:r>
      <w:r>
        <w:t xml:space="preserve"> </w:t>
      </w:r>
      <w:r>
        <w:t xml:space="preserve">Patrocinador.El proveedor de servicios proporciona la tasa de uso</w:t>
      </w:r>
      <w:r>
        <w:t xml:space="preserve"> </w:t>
      </w:r>
      <w:r>
        <w:t xml:space="preserve">a través de la consola.</w:t>
      </w:r>
    </w:p>
    <w:p>
      <w:pPr>
        <w:pStyle w:val="BodyText"/>
      </w:pPr>
      <w:r>
        <w:rPr>
          <w:i/>
          <w:iCs/>
        </w:rPr>
        <w:t xml:space="preserve">Ejemplo: sin copia de seguridad de una máquina virtual:</w:t>
      </w:r>
    </w:p>
    <w:p>
      <w:pPr>
        <w:pStyle w:val="BodyText"/>
      </w:pPr>
      <w:r>
        <w:rPr>
          <w:i/>
          <w:iCs/>
        </w:rPr>
        <w:t xml:space="preserve">El patrocinador es responsable de verificar / supervisar el derecho</w:t>
      </w:r>
      <w:r>
        <w:rPr>
          <w:i/>
          <w:iCs/>
        </w:rPr>
        <w:t xml:space="preserve"> </w:t>
      </w:r>
      <w:r>
        <w:rPr>
          <w:i/>
          <w:iCs/>
        </w:rPr>
        <w:t xml:space="preserve">exécution des politiques des sauvegardes, dans le cas où le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constate qu’une machine virtuelle n’est pas sauvegardée,</w:t>
      </w:r>
      <w:r>
        <w:rPr>
          <w:i/>
          <w:iCs/>
        </w:rPr>
        <w:t xml:space="preserve"> </w:t>
      </w:r>
      <w:r>
        <w:rPr>
          <w:i/>
          <w:iCs/>
        </w:rPr>
        <w:t xml:space="preserve">il lui appartient d’en vérifier la cause, le COMMANDITAIRE pourra</w:t>
      </w:r>
      <w:r>
        <w:rPr>
          <w:i/>
          <w:iCs/>
        </w:rPr>
        <w:t xml:space="preserve"> </w:t>
      </w:r>
      <w:r>
        <w:rPr>
          <w:i/>
          <w:iCs/>
        </w:rPr>
        <w:t xml:space="preserve">solliciter le Support du Prestaire selon le niveau de support souscrit</w:t>
      </w:r>
      <w:r>
        <w:rPr>
          <w:i/>
          <w:iCs/>
        </w:rPr>
        <w:t xml:space="preserve"> </w:t>
      </w:r>
      <w:r>
        <w:rPr>
          <w:i/>
          <w:iCs/>
        </w:rPr>
        <w:t xml:space="preserve">pour être assisté.</w:t>
      </w:r>
    </w:p>
    <w:p>
      <w:pPr>
        <w:pStyle w:val="BodyText"/>
      </w:pPr>
      <w:r>
        <w:rPr>
          <w:b/>
          <w:bCs/>
        </w:rPr>
        <w:t xml:space="preserve">Le SLA 8 : IC-INFRA_SNC-08 et SLA 9</w:t>
      </w:r>
      <w:r>
        <w:t xml:space="preserve">, sera exclusivement applicable</w:t>
      </w:r>
      <w:r>
        <w:t xml:space="preserve"> </w:t>
      </w:r>
      <w:r>
        <w:t xml:space="preserve">dans le cas d’un Incident du service sauvegarde.</w:t>
      </w:r>
    </w:p>
    <w:bookmarkEnd w:id="53"/>
    <w:bookmarkEnd w:id="54"/>
    <w:bookmarkStart w:id="60" w:name="X1b0fb2917e64e337683b84344e8f72e207e8798"/>
    <w:p>
      <w:pPr>
        <w:pStyle w:val="Heading1"/>
      </w:pPr>
      <w:r>
        <w:t xml:space="preserve">9. Organisation de la relation contractuelle</w:t>
      </w:r>
    </w:p>
    <w:bookmarkStart w:id="55" w:name="responsabilités-du-prestataire"/>
    <w:p>
      <w:pPr>
        <w:pStyle w:val="Heading2"/>
      </w:pPr>
      <w:r>
        <w:t xml:space="preserve">9.1. Responsabilités du Prestataire</w:t>
      </w:r>
    </w:p>
    <w:p>
      <w:pPr>
        <w:pStyle w:val="FirstParagraph"/>
      </w:pPr>
      <w:r>
        <w:t xml:space="preserve">El proveedor de servicios está cometido:</w:t>
      </w:r>
    </w:p>
    <w:p>
      <w:pPr>
        <w:numPr>
          <w:ilvl w:val="0"/>
          <w:numId w:val="1017"/>
        </w:numPr>
      </w:pPr>
      <w:r>
        <w:t xml:space="preserve">informar a su patrocinador adecuadamente (por ejemplo en el caso</w:t>
      </w:r>
      <w:r>
        <w:t xml:space="preserve"> </w:t>
      </w:r>
      <w:r>
        <w:t xml:space="preserve">Límite de capacidad de recursos técnicos que entrega el servicio).</w:t>
      </w:r>
    </w:p>
    <w:p>
      <w:pPr>
        <w:numPr>
          <w:ilvl w:val="0"/>
          <w:numId w:val="1017"/>
        </w:numPr>
      </w:pPr>
      <w:r>
        <w:t xml:space="preserve">Para informar formalmente al patrocinador y dentro de un mes,</w:t>
      </w:r>
      <w:r>
        <w:t xml:space="preserve"> </w:t>
      </w:r>
      <w:r>
        <w:t xml:space="preserve">de cualquier cambio legal, organizacional o técnico que pueda</w:t>
      </w:r>
      <w:r>
        <w:t xml:space="preserve"> </w:t>
      </w:r>
      <w:r>
        <w:t xml:space="preserve">tener un impacto en el cumplimiento del servicio a los requisitos de</w:t>
      </w:r>
      <w:r>
        <w:t xml:space="preserve"> </w:t>
      </w:r>
      <w:r>
        <w:t xml:space="preserve">Protección contra leyes extraeuropeas (19.6 del estándar SNC</w:t>
      </w:r>
      <w:r>
        <w:t xml:space="preserve"> </w:t>
      </w:r>
      <w:r>
        <w:t xml:space="preserve">v3.2).</w:t>
      </w:r>
    </w:p>
    <w:p>
      <w:pPr>
        <w:numPr>
          <w:ilvl w:val="0"/>
          <w:numId w:val="1017"/>
        </w:numPr>
      </w:pPr>
      <w:r>
        <w:t xml:space="preserve">Proporcionar al patrocinador interfaces e interfaces de servicio</w:t>
      </w:r>
      <w:r>
        <w:t xml:space="preserve"> </w:t>
      </w:r>
      <w:r>
        <w:t xml:space="preserve">que están en francés al menos.</w:t>
      </w:r>
    </w:p>
    <w:p>
      <w:pPr>
        <w:numPr>
          <w:ilvl w:val="0"/>
          <w:numId w:val="1017"/>
        </w:numPr>
      </w:pPr>
      <w:r>
        <w:t xml:space="preserve">tener en cuenta los requisitos sectoriales específicos vinculados a</w:t>
      </w:r>
      <w:r>
        <w:t xml:space="preserve"> </w:t>
      </w:r>
      <w:r>
        <w:t xml:space="preserve">tipos de información confiado por el patrocinador como parte de</w:t>
      </w:r>
      <w:r>
        <w:t xml:space="preserve"> </w:t>
      </w:r>
      <w:r>
        <w:t xml:space="preserve">la implementación del servicio y dentro de los límites de las responsabilidades del</w:t>
      </w:r>
      <w:r>
        <w:t xml:space="preserve"> </w:t>
      </w:r>
      <w:r>
        <w:t xml:space="preserve">Proveedor de una acción y las disposiciones previstas en el contrato</w:t>
      </w:r>
      <w:r>
        <w:t xml:space="preserve"> </w:t>
      </w:r>
      <w:r>
        <w:t xml:space="preserve">por otro lado ;</w:t>
      </w:r>
    </w:p>
    <w:p>
      <w:pPr>
        <w:numPr>
          <w:ilvl w:val="0"/>
          <w:numId w:val="1017"/>
        </w:numPr>
      </w:pPr>
      <w:r>
        <w:t xml:space="preserve">Estudiar requisitos sectoriales específicos relacionados con tipos</w:t>
      </w:r>
      <w:r>
        <w:t xml:space="preserve"> </w:t>
      </w:r>
      <w:r>
        <w:t xml:space="preserve">Información confiada por el patrocinador como parte del</w:t>
      </w:r>
      <w:r>
        <w:t xml:space="preserve"> </w:t>
      </w:r>
      <w:r>
        <w:t xml:space="preserve">en el trabajo del servicio, más tarde expresado por el patrocinador, y</w:t>
      </w:r>
      <w:r>
        <w:t xml:space="preserve"> </w:t>
      </w:r>
      <w:r>
        <w:t xml:space="preserve">para indicar a este último las acciones necesarias para tomar su</w:t>
      </w:r>
      <w:r>
        <w:t xml:space="preserve"> </w:t>
      </w:r>
      <w:r>
        <w:t xml:space="preserve">cuenta</w:t>
      </w:r>
    </w:p>
    <w:p>
      <w:pPr>
        <w:numPr>
          <w:ilvl w:val="0"/>
          <w:numId w:val="1017"/>
        </w:numPr>
      </w:pPr>
      <w:r>
        <w:t xml:space="preserve">No revelar ninguna información relacionada con el servicio a</w:t>
      </w:r>
      <w:r>
        <w:t xml:space="preserve"> </w:t>
      </w:r>
      <w:r>
        <w:t xml:space="preserve">terceros, a menos que la autorización formal y por escrito del patrocinador.</w:t>
      </w:r>
    </w:p>
    <w:p>
      <w:pPr>
        <w:numPr>
          <w:ilvl w:val="0"/>
          <w:numId w:val="1017"/>
        </w:numPr>
      </w:pPr>
      <w:r>
        <w:t xml:space="preserve">Para poner a disposición toda la información necesaria para el</w:t>
      </w:r>
      <w:r>
        <w:t xml:space="preserve"> </w:t>
      </w:r>
      <w:r>
        <w:t xml:space="preserve">realización de auditorías de cumplimiento de acuerdo con las disposiciones de</w:t>
      </w:r>
      <w:r>
        <w:t xml:space="preserve"> </w:t>
      </w:r>
      <w:r>
        <w:t xml:space="preserve">l’article 28 du RGPD.</w:t>
      </w:r>
    </w:p>
    <w:p>
      <w:pPr>
        <w:numPr>
          <w:ilvl w:val="0"/>
          <w:numId w:val="1017"/>
        </w:numPr>
      </w:pPr>
      <w:r>
        <w:t xml:space="preserve">à rendre compte auprès du COMMANDITAIRE, par la présente Convention de</w:t>
      </w:r>
      <w:r>
        <w:t xml:space="preserve"> </w:t>
      </w:r>
      <w:r>
        <w:t xml:space="preserve">service, de tout Incident de sécurité impactant le Service ou</w:t>
      </w:r>
      <w:r>
        <w:t xml:space="preserve"> </w:t>
      </w:r>
      <w:r>
        <w:t xml:space="preserve">l’utilisation faite par le COMMANDITAIRE du Service (incluant les</w:t>
      </w:r>
      <w:r>
        <w:t xml:space="preserve"> </w:t>
      </w:r>
      <w:r>
        <w:t xml:space="preserve">données du COMMANDITAIRE).</w:t>
      </w:r>
    </w:p>
    <w:p>
      <w:pPr>
        <w:numPr>
          <w:ilvl w:val="0"/>
          <w:numId w:val="1017"/>
        </w:numPr>
      </w:pPr>
      <w:r>
        <w:t xml:space="preserve">à autoriser un prestataire d’audit de la sécurité des systèmes</w:t>
      </w:r>
      <w:r>
        <w:t xml:space="preserve"> </w:t>
      </w:r>
      <w:r>
        <w:t xml:space="preserve">d’information (PASSI) qualifié, mandaté par le Prestataire, à auditer</w:t>
      </w:r>
      <w:r>
        <w:t xml:space="preserve"> </w:t>
      </w:r>
      <w:r>
        <w:t xml:space="preserve">le service ainsi que son système d’information, conformément au plan</w:t>
      </w:r>
      <w:r>
        <w:t xml:space="preserve"> </w:t>
      </w:r>
      <w:r>
        <w:t xml:space="preserve">Control de SecnumCloud del proveedor de servicios.Además, el proveedor</w:t>
      </w:r>
      <w:r>
        <w:t xml:space="preserve"> </w:t>
      </w:r>
      <w:r>
        <w:t xml:space="preserve">se compromete a proporcionar toda la información necesaria para conducir a</w:t>
      </w:r>
      <w:r>
        <w:t xml:space="preserve"> </w:t>
      </w:r>
      <w:r>
        <w:t xml:space="preserve">Bueno, las auditorías de cumplimiento de las disposiciones del artículo 28 del</w:t>
      </w:r>
      <w:r>
        <w:t xml:space="preserve"> </w:t>
      </w:r>
      <w:r>
        <w:t xml:space="preserve">GDPR, dirigido por el patrocinador o un tercero obligatorio.</w:t>
      </w:r>
    </w:p>
    <w:p>
      <w:pPr>
        <w:numPr>
          <w:ilvl w:val="0"/>
          <w:numId w:val="1017"/>
        </w:numPr>
      </w:pPr>
      <w:r>
        <w:t xml:space="preserve">que se proporcionará, como subcontratista, de acuerdo con el artículo 28 de</w:t>
      </w:r>
      <w:r>
        <w:t xml:space="preserve"> </w:t>
      </w:r>
      <w:r>
        <w:t xml:space="preserve">Regulaciones generales de protección de datos (GDPR), asistencia y</w:t>
      </w:r>
      <w:r>
        <w:t xml:space="preserve"> </w:t>
      </w:r>
      <w:r>
        <w:t xml:space="preserve">consejo al patrocinador alertarlo tan pronto como una instrucción</w:t>
      </w:r>
      <w:r>
        <w:t xml:space="preserve"> </w:t>
      </w:r>
      <w:r>
        <w:t xml:space="preserve">emitido por este último es probable que constituya una violación de</w:t>
      </w:r>
      <w:r>
        <w:t xml:space="preserve"> </w:t>
      </w:r>
      <w:r>
        <w:t xml:space="preserve">Reglas de protección de datos.</w:t>
      </w:r>
    </w:p>
    <w:p>
      <w:pPr>
        <w:numPr>
          <w:ilvl w:val="0"/>
          <w:numId w:val="1017"/>
        </w:numPr>
      </w:pPr>
      <w:r>
        <w:t xml:space="preserve">notificar al patrocinador en un tiempo razonable, a través del</w:t>
      </w:r>
      <w:r>
        <w:t xml:space="preserve"> </w:t>
      </w:r>
      <w:r>
        <w:t xml:space="preserve">consola de patrocinador o por correo electrónico en contacto con el patrocinador,</w:t>
      </w:r>
      <w:r>
        <w:t xml:space="preserve"> </w:t>
      </w:r>
      <w:r>
        <w:t xml:space="preserve">Cuando un proyecto de impacto o es probable que afecte el nivel de</w:t>
      </w:r>
      <w:r>
        <w:t xml:space="preserve"> </w:t>
      </w:r>
      <w:r>
        <w:t xml:space="preserve">seguridad o disponibilidad del servicio, o para generar una pérdida de</w:t>
      </w:r>
      <w:r>
        <w:t xml:space="preserve"> </w:t>
      </w:r>
      <w:r>
        <w:t xml:space="preserve">funcionalidad, impactos potenciales, medidas de mitigación</w:t>
      </w:r>
      <w:r>
        <w:t xml:space="preserve"> </w:t>
      </w:r>
      <w:r>
        <w:t xml:space="preserve">mises en place, ainsi que des risques résiduels qui le concernent.</w:t>
      </w:r>
    </w:p>
    <w:p>
      <w:pPr>
        <w:numPr>
          <w:ilvl w:val="0"/>
          <w:numId w:val="1017"/>
        </w:numPr>
      </w:pPr>
      <w:r>
        <w:t xml:space="preserve">à documenter et à mettre en œuvre l’ensemble des procédures</w:t>
      </w:r>
      <w:r>
        <w:t xml:space="preserve"> </w:t>
      </w:r>
      <w:r>
        <w:t xml:space="preserve">nécessaires pour respecter les exigences légales, réglementaires et</w:t>
      </w:r>
      <w:r>
        <w:t xml:space="preserve"> </w:t>
      </w:r>
      <w:r>
        <w:t xml:space="preserve">contractuelles applicables au service, ainsi que les besoins de</w:t>
      </w:r>
      <w:r>
        <w:t xml:space="preserve"> </w:t>
      </w:r>
      <w:r>
        <w:t xml:space="preserve">sécurité spécifiques du COMMANDITAIRE, définis par ce dernier et</w:t>
      </w:r>
      <w:r>
        <w:t xml:space="preserve"> </w:t>
      </w:r>
      <w:r>
        <w:t xml:space="preserve">prévus au Contrat.</w:t>
      </w:r>
    </w:p>
    <w:p>
      <w:pPr>
        <w:numPr>
          <w:ilvl w:val="0"/>
          <w:numId w:val="1017"/>
        </w:numPr>
      </w:pPr>
      <w:r>
        <w:t xml:space="preserve">à ne pas utiliser les données du COMMANDITAIRE issues de la production</w:t>
      </w:r>
      <w:r>
        <w:t xml:space="preserve"> </w:t>
      </w:r>
      <w:r>
        <w:t xml:space="preserve">pour réaliser des tests, à l’exception d’en obtenir préalablement</w:t>
      </w:r>
      <w:r>
        <w:t xml:space="preserve"> </w:t>
      </w:r>
      <w:r>
        <w:t xml:space="preserve">l'autorisation explicite du COMMANDITAIRE, auquel cas le Prestataire</w:t>
      </w:r>
      <w:r>
        <w:t xml:space="preserve"> </w:t>
      </w:r>
      <w:r>
        <w:t xml:space="preserve">s'engage à anonymiser ces données et à en assurer la confidentialité</w:t>
      </w:r>
      <w:r>
        <w:t xml:space="preserve"> </w:t>
      </w:r>
      <w:r>
        <w:t xml:space="preserve">lors de leur anonymisation.</w:t>
      </w:r>
    </w:p>
    <w:p>
      <w:pPr>
        <w:numPr>
          <w:ilvl w:val="0"/>
          <w:numId w:val="1017"/>
        </w:numPr>
      </w:pPr>
      <w:r>
        <w:t xml:space="preserve">à supprimer les données et Données techniques relatives au</w:t>
      </w:r>
      <w:r>
        <w:t xml:space="preserve"> </w:t>
      </w:r>
      <w:r>
        <w:t xml:space="preserve">COMMANDITAIRE, conformément à la « procédure d’effacement des données</w:t>
      </w:r>
      <w:r>
        <w:t xml:space="preserve"> </w:t>
      </w:r>
      <w:r>
        <w:t xml:space="preserve">en fin de Contrat » décrite dans la présente Convention de service</w:t>
      </w:r>
      <w:r>
        <w:t xml:space="preserve"> </w:t>
      </w:r>
      <w:r>
        <w:t xml:space="preserve">lors d’une fin ou résiliation de Contrat.</w:t>
      </w:r>
    </w:p>
    <w:p>
      <w:pPr>
        <w:numPr>
          <w:ilvl w:val="0"/>
          <w:numId w:val="1017"/>
        </w:numPr>
      </w:pPr>
      <w:r>
        <w:t xml:space="preserve">à assurer un effacement sécurisé de l’intégralité des données du</w:t>
      </w:r>
      <w:r>
        <w:t xml:space="preserve"> </w:t>
      </w:r>
      <w:r>
        <w:t xml:space="preserve">Patrocinador por reescritura completa de cualquier medio que</w:t>
      </w:r>
      <w:r>
        <w:t xml:space="preserve"> </w:t>
      </w:r>
      <w:r>
        <w:t xml:space="preserve">sus datos como parte del servicio.</w:t>
      </w:r>
    </w:p>
    <w:p>
      <w:pPr>
        <w:pStyle w:val="FirstParagraph"/>
      </w:pPr>
      <w:r>
        <w:t xml:space="preserve">A petición del patrocinador formal y escrito, el proveedor de servicios realiza</w:t>
      </w:r>
      <w:r>
        <w:t xml:space="preserve"> </w:t>
      </w:r>
      <w:r>
        <w:t xml:space="preserve">tiene :</w:t>
      </w:r>
    </w:p>
    <w:p>
      <w:pPr>
        <w:numPr>
          <w:ilvl w:val="0"/>
          <w:numId w:val="1018"/>
        </w:numPr>
      </w:pPr>
      <w:r>
        <w:t xml:space="preserve">Haga que las regulaciones internas sean accesibles para el patrocinador y</w:t>
      </w:r>
      <w:r>
        <w:t xml:space="preserve"> </w:t>
      </w:r>
      <w:r>
        <w:t xml:space="preserve">Carta de ética del proveedor;</w:t>
      </w:r>
    </w:p>
    <w:p>
      <w:pPr>
        <w:numPr>
          <w:ilvl w:val="0"/>
          <w:numId w:val="1018"/>
        </w:numPr>
      </w:pPr>
      <w:r>
        <w:t xml:space="preserve">Haga que las sanciones sean accesibles para el patrocinador incurrido en el caso</w:t>
      </w:r>
      <w:r>
        <w:t xml:space="preserve"> </w:t>
      </w:r>
      <w:r>
        <w:t xml:space="preserve">infracción a la política de seguridad;</w:t>
      </w:r>
    </w:p>
    <w:p>
      <w:pPr>
        <w:numPr>
          <w:ilvl w:val="0"/>
          <w:numId w:val="1018"/>
        </w:numPr>
      </w:pPr>
      <w:r>
        <w:t xml:space="preserve">Proporcione al patrocinador el conjunto de eventos sobre él</w:t>
      </w:r>
      <w:r>
        <w:t xml:space="preserve"> </w:t>
      </w:r>
      <w:r>
        <w:t xml:space="preserve">en los elementos de la periodización del servicio;el patrocinador</w:t>
      </w:r>
      <w:r>
        <w:t xml:space="preserve"> </w:t>
      </w:r>
      <w:r>
        <w:t xml:space="preserve">que también puede consultar los eventos relativos en autonomía</w:t>
      </w:r>
      <w:r>
        <w:t xml:space="preserve"> </w:t>
      </w:r>
      <w:r>
        <w:t xml:space="preserve">a su uso del servicio a través de interfaces web y API de</w:t>
      </w:r>
      <w:r>
        <w:t xml:space="preserve"> </w:t>
      </w:r>
      <w:r>
        <w:t xml:space="preserve">Servicio ;</w:t>
      </w:r>
    </w:p>
    <w:p>
      <w:pPr>
        <w:numPr>
          <w:ilvl w:val="0"/>
          <w:numId w:val="1018"/>
        </w:numPr>
      </w:pPr>
      <w:r>
        <w:t xml:space="preserve">Haga que los procedimientos sean accesibles para el patrocinador que permite</w:t>
      </w:r>
      <w:r>
        <w:t xml:space="preserve"> </w:t>
      </w:r>
      <w:r>
        <w:t xml:space="preserve">cumplir con los requisitos legales, regulatorios y contractuales en</w:t>
      </w:r>
      <w:r>
        <w:t xml:space="preserve"> </w:t>
      </w:r>
      <w:r>
        <w:t xml:space="preserve">vigor aplicable al servicio, así como las necesidades de seguridad</w:t>
      </w:r>
      <w:r>
        <w:t xml:space="preserve"> </w:t>
      </w:r>
      <w:r>
        <w:t xml:space="preserve">específico del patrocinador previsto en el contrato;</w:t>
      </w:r>
    </w:p>
    <w:p>
      <w:pPr>
        <w:numPr>
          <w:ilvl w:val="0"/>
          <w:numId w:val="1018"/>
        </w:numPr>
      </w:pPr>
      <w:r>
        <w:t xml:space="preserve">Para ser proporcionado, los elementos de evaluación de riesgos relacionados con el</w:t>
      </w:r>
      <w:r>
        <w:t xml:space="preserve"> </w:t>
      </w:r>
      <w:r>
        <w:t xml:space="preserve">Presentación de los datos del patrocinador a la derecha de un estado</w:t>
      </w:r>
      <w:r>
        <w:t xml:space="preserve"> </w:t>
      </w:r>
      <w:r>
        <w:t xml:space="preserve">no miembro de la Unión Europea;</w:t>
      </w:r>
    </w:p>
    <w:p>
      <w:pPr>
        <w:numPr>
          <w:ilvl w:val="0"/>
          <w:numId w:val="1018"/>
        </w:numPr>
      </w:pPr>
      <w:r>
        <w:t xml:space="preserve">Informar al patrocinador de subcontratistas posteriores</w:t>
      </w:r>
      <w:r>
        <w:t xml:space="preserve"> </w:t>
      </w:r>
      <w:r>
        <w:t xml:space="preserve">partes interesadas en la provisión del servicio e informarlo de cualquier</w:t>
      </w:r>
      <w:r>
        <w:t xml:space="preserve"> </w:t>
      </w:r>
      <w:r>
        <w:t xml:space="preserve">Cambie el impacto relacionado con estos subcontratistas.</w:t>
      </w:r>
    </w:p>
    <w:p>
      <w:pPr>
        <w:pStyle w:val="BlockText"/>
      </w:pPr>
      <w:r>
        <w:t xml:space="preserve">El proveedor y todas sus subsidiarias se comprometen a respetar</w:t>
      </w:r>
      <w:r>
        <w:t xml:space="preserve"> </w:t>
      </w:r>
      <w:r>
        <w:t xml:space="preserve">Los valores fundamentales de la Unión Europea, a saber, la dignidad</w:t>
      </w:r>
      <w:r>
        <w:t xml:space="preserve"> </w:t>
      </w:r>
      <w:r>
        <w:t xml:space="preserve">humano, libertad, democracia, igualdad, el estado de derecho, así como</w:t>
      </w:r>
      <w:r>
        <w:t xml:space="preserve"> </w:t>
      </w:r>
      <w:r>
        <w:t xml:space="preserve">Ese respeto por los derechos humanos.El servicio proporcionado por el</w:t>
      </w:r>
      <w:r>
        <w:t xml:space="preserve"> </w:t>
      </w:r>
      <w:r>
        <w:t xml:space="preserve">El proveedor cumple con la legislación vigente en asuntos de</w:t>
      </w:r>
      <w:r>
        <w:t xml:space="preserve"> </w:t>
      </w:r>
      <w:r>
        <w:t xml:space="preserve">Derechos fundamentales y los valores de la Unión Europea relacionadas con</w:t>
      </w:r>
      <w:r>
        <w:t xml:space="preserve"> </w:t>
      </w:r>
      <w:r>
        <w:t xml:space="preserve">Respeto por la dignidad humana, la libertad, la igualdad, a</w:t>
      </w:r>
      <w:r>
        <w:t xml:space="preserve"> </w:t>
      </w:r>
      <w:r>
        <w:t xml:space="preserve">Democracia y el estado de derecho.</w:t>
      </w:r>
      <w:r>
        <w:t xml:space="preserve"> </w:t>
      </w:r>
      <w:r>
        <w:t xml:space="preserve">## 9.2.Limitación de las responsabilidades del proveedor</w:t>
      </w:r>
    </w:p>
    <w:p>
      <w:pPr>
        <w:pStyle w:val="FirstParagraph"/>
      </w:pPr>
      <w:r>
        <w:t xml:space="preserve">Debido a todas las definiciones y condiciones mencionadas en el</w:t>
      </w:r>
      <w:r>
        <w:t xml:space="preserve"> </w:t>
      </w:r>
      <w:r>
        <w:t xml:space="preserve">Este acuerdo de servicio, las responsabilidades del proveedor de servicios son</w:t>
      </w:r>
      <w:r>
        <w:t xml:space="preserve"> </w:t>
      </w:r>
      <w:r>
        <w:t xml:space="preserve">Limitado de la siguiente manera:</w:t>
      </w:r>
    </w:p>
    <w:p>
      <w:pPr>
        <w:pStyle w:val="Compact"/>
        <w:numPr>
          <w:ilvl w:val="0"/>
          <w:numId w:val="1019"/>
        </w:numPr>
      </w:pPr>
      <w:r>
        <w:t xml:space="preserve">El modelo de responsabilidad compartida, descrito en la sección</w:t>
      </w:r>
      <w:r>
        <w:t xml:space="preserve"> </w:t>
      </w:r>
      <w:r>
        <w:t xml:space="preserve">“Modelo de responsabilidad compartida”</w:t>
      </w:r>
      <w:r>
        <w:t xml:space="preserve"> </w:t>
      </w:r>
      <w:r>
        <w:t xml:space="preserve">de este</w:t>
      </w:r>
      <w:r>
        <w:t xml:space="preserve"> </w:t>
      </w:r>
      <w:r>
        <w:t xml:space="preserve">El servicio, de hecho, limita la participación del proveedor de servicios en</w:t>
      </w:r>
      <w:r>
        <w:t xml:space="preserve"> </w:t>
      </w:r>
      <w:r>
        <w:t xml:space="preserve">Capas de funcionamiento</w:t>
      </w:r>
      <w:r>
        <w:t xml:space="preserve"> </w:t>
      </w:r>
      <w:r>
        <w:t xml:space="preserve">“arriba”</w:t>
      </w:r>
      <w:r>
        <w:t xml:space="preserve"> </w:t>
      </w:r>
      <w:r>
        <w:t xml:space="preserve">del</w:t>
      </w:r>
      <w:r>
        <w:t xml:space="preserve"> </w:t>
      </w:r>
      <w:r>
        <w:t xml:space="preserve">provisión de cálculo, red, almacenamiento y</w:t>
      </w:r>
      <w:r>
        <w:t xml:space="preserve"> </w:t>
      </w:r>
      <w:r>
        <w:t xml:space="preserve">respaldo.Esto excluye en particular sin limitarse:</w:t>
      </w:r>
    </w:p>
    <w:p>
      <w:pPr>
        <w:numPr>
          <w:ilvl w:val="0"/>
          <w:numId w:val="1020"/>
        </w:numPr>
      </w:pPr>
      <w:r>
        <w:t xml:space="preserve">Gestión de lo que se instala en máquinas virtuales (sistema operativo,</w:t>
      </w:r>
      <w:r>
        <w:t xml:space="preserve"> </w:t>
      </w:r>
      <w:r>
        <w:t xml:space="preserve">Middleware, aplicación, etc.);</w:t>
      </w:r>
    </w:p>
    <w:p>
      <w:pPr>
        <w:numPr>
          <w:ilvl w:val="0"/>
          <w:numId w:val="1020"/>
        </w:numPr>
      </w:pPr>
      <w:r>
        <w:t xml:space="preserve">Bone actualizado y otro software instalado por el</w:t>
      </w:r>
      <w:r>
        <w:t xml:space="preserve"> </w:t>
      </w:r>
      <w:r>
        <w:t xml:space="preserve">Patrocinador en sus máquinas en sus seguidores;</w:t>
      </w:r>
    </w:p>
    <w:p>
      <w:pPr>
        <w:numPr>
          <w:ilvl w:val="0"/>
          <w:numId w:val="1020"/>
        </w:numPr>
      </w:pPr>
      <w:r>
        <w:t xml:space="preserve">Seguridad, software y aplicación del programa instalado en</w:t>
      </w:r>
      <w:r>
        <w:t xml:space="preserve"> </w:t>
      </w:r>
      <w:r>
        <w:t xml:space="preserve">máquinas virtuales;</w:t>
      </w:r>
    </w:p>
    <w:p>
      <w:pPr>
        <w:numPr>
          <w:ilvl w:val="0"/>
          <w:numId w:val="1020"/>
        </w:numPr>
      </w:pPr>
      <w:r>
        <w:t xml:space="preserve">Actualización de máquinas virtuales;</w:t>
      </w:r>
    </w:p>
    <w:p>
      <w:pPr>
        <w:numPr>
          <w:ilvl w:val="0"/>
          <w:numId w:val="1020"/>
        </w:numPr>
      </w:pPr>
      <w:r>
        <w:t xml:space="preserve">Copia de seguridad de datos a nivel de aplicación.</w:t>
      </w:r>
    </w:p>
    <w:p>
      <w:pPr>
        <w:numPr>
          <w:ilvl w:val="0"/>
          <w:numId w:val="1021"/>
        </w:numPr>
      </w:pPr>
      <w:r>
        <w:t xml:space="preserve">El proveedor de servicios no puede comprometerse a salvaguardar el</w:t>
      </w:r>
      <w:r>
        <w:t xml:space="preserve"> </w:t>
      </w:r>
      <w:r>
        <w:t xml:space="preserve">Partidarios del patrocinador sin que el patrocinador tenga de antemano</w:t>
      </w:r>
      <w:r>
        <w:t xml:space="preserve"> </w:t>
      </w:r>
      <w:r>
        <w:t xml:space="preserve">suscrito a las obras de obras adecuadas.</w:t>
      </w:r>
    </w:p>
    <w:p>
      <w:pPr>
        <w:numPr>
          <w:ilvl w:val="0"/>
          <w:numId w:val="1021"/>
        </w:numPr>
      </w:pPr>
      <w:r>
        <w:t xml:space="preserve">El proveedor de servicios no puede aprovechar la propiedad de datos</w:t>
      </w:r>
      <w:r>
        <w:t xml:space="preserve"> </w:t>
      </w:r>
      <w:r>
        <w:t xml:space="preserve">transmitido y generado por el patrocinador.De hecho, estos</w:t>
      </w:r>
      <w:r>
        <w:t xml:space="preserve"> </w:t>
      </w:r>
      <w:r>
        <w:t xml:space="preserve">son la propiedad del patrocinador.</w:t>
      </w:r>
    </w:p>
    <w:p>
      <w:pPr>
        <w:numPr>
          <w:ilvl w:val="0"/>
          <w:numId w:val="1021"/>
        </w:numPr>
      </w:pPr>
      <w:r>
        <w:t xml:space="preserve">Le Prestataire souligne qu’il ne peut en aucun cas exploiter et/ou</w:t>
      </w:r>
      <w:r>
        <w:t xml:space="preserve"> </w:t>
      </w:r>
      <w:r>
        <w:t xml:space="preserve">disposer des données transmises et générées par le COMMANDITAIRE</w:t>
      </w:r>
      <w:r>
        <w:t xml:space="preserve"> </w:t>
      </w:r>
      <w:r>
        <w:t xml:space="preserve">sans validation préalable de ce dernier, étant entendu que leur</w:t>
      </w:r>
      <w:r>
        <w:t xml:space="preserve"> </w:t>
      </w:r>
      <w:r>
        <w:t xml:space="preserve">disposition est réservée au COMMANDITAIRE.</w:t>
      </w:r>
    </w:p>
    <w:p>
      <w:pPr>
        <w:numPr>
          <w:ilvl w:val="0"/>
          <w:numId w:val="1021"/>
        </w:numPr>
      </w:pPr>
      <w:r>
        <w:t xml:space="preserve">Le Prestataire dégage toute responsabilité sur les composants</w:t>
      </w:r>
      <w:r>
        <w:t xml:space="preserve"> </w:t>
      </w:r>
      <w:r>
        <w:t xml:space="preserve">physiquement hébergés et infogéré par le Prestataire, mais étant la</w:t>
      </w:r>
      <w:r>
        <w:t xml:space="preserve"> </w:t>
      </w:r>
      <w:r>
        <w:t xml:space="preserve">propriété directe du COMMANDITAIRE ou d’un tiers avec lequel le</w:t>
      </w:r>
      <w:r>
        <w:t xml:space="preserve"> </w:t>
      </w:r>
      <w:r>
        <w:t xml:space="preserve">COMMANDITAIRE a contractualisé. L’hébergement de composants</w:t>
      </w:r>
      <w:r>
        <w:t xml:space="preserve"> </w:t>
      </w:r>
      <w:r>
        <w:t xml:space="preserve">physiques des clients ne fait pas partie du Service et est de fait</w:t>
      </w:r>
      <w:r>
        <w:t xml:space="preserve"> </w:t>
      </w:r>
      <w:r>
        <w:t xml:space="preserve">hors du cadre de la présente Convention de service. Il incombe au</w:t>
      </w:r>
      <w:r>
        <w:t xml:space="preserve"> </w:t>
      </w:r>
      <w:r>
        <w:t xml:space="preserve">COMMANDITAIRE d’évaluer le niveau d’adhérence ou de dépendance</w:t>
      </w:r>
      <w:r>
        <w:t xml:space="preserve"> </w:t>
      </w:r>
      <w:r>
        <w:t xml:space="preserve">qu’introduisent ces composants vis-à-vis du Service IaaS qualifié</w:t>
      </w:r>
      <w:r>
        <w:t xml:space="preserve"> </w:t>
      </w:r>
      <w:r>
        <w:t xml:space="preserve">SecNumCloud.</w:t>
      </w:r>
    </w:p>
    <w:bookmarkEnd w:id="55"/>
    <w:bookmarkStart w:id="56" w:name="limitation-daccès"/>
    <w:p>
      <w:pPr>
        <w:pStyle w:val="Heading2"/>
      </w:pPr>
      <w:r>
        <w:t xml:space="preserve">9.3. Limitation d’accès</w:t>
      </w:r>
    </w:p>
    <w:p>
      <w:pPr>
        <w:pStyle w:val="FirstParagraph"/>
      </w:pPr>
      <w:r>
        <w:t xml:space="preserve">Dans le cadre du Service, le Prestataire est formellement interdit</w:t>
      </w:r>
      <w:r>
        <w:t xml:space="preserve"> </w:t>
      </w:r>
      <w:r>
        <w:t xml:space="preserve">para acceder a los seguidores que pertenecen al patrocinador sin autorización</w:t>
      </w:r>
      <w:r>
        <w:t xml:space="preserve"> </w:t>
      </w:r>
      <w:r>
        <w:t xml:space="preserve">previo.Es responsabilidad del patrocinador proporcionar el</w:t>
      </w:r>
      <w:r>
        <w:t xml:space="preserve"> </w:t>
      </w:r>
      <w:r>
        <w:t xml:space="preserve">acceso necesario al personal del proveedor, según sea necesario</w:t>
      </w:r>
      <w:r>
        <w:t xml:space="preserve"> </w:t>
      </w:r>
      <w:r>
        <w:t xml:space="preserve">específico para el alojamiento y, si es necesario, los servicios</w:t>
      </w:r>
      <w:r>
        <w:t xml:space="preserve"> </w:t>
      </w:r>
      <w:r>
        <w:t xml:space="preserve">Apoyo a los profesionales, si esta opción fue elegida por el</w:t>
      </w:r>
      <w:r>
        <w:t xml:space="preserve"> </w:t>
      </w:r>
      <w:r>
        <w:t xml:space="preserve">Patrocinador.</w:t>
      </w:r>
    </w:p>
    <w:p>
      <w:pPr>
        <w:pStyle w:val="BodyText"/>
      </w:pPr>
      <w:r>
        <w:t xml:space="preserve">El patrocinador reconoce que este acceso se otorga exclusivamente</w:t>
      </w:r>
      <w:r>
        <w:t xml:space="preserve"> </w:t>
      </w:r>
      <w:r>
        <w:t xml:space="preserve">para necesidades relacionadas con la provisión de servicios acordados, asegurando</w:t>
      </w:r>
      <w:r>
        <w:t xml:space="preserve"> </w:t>
      </w:r>
      <w:r>
        <w:t xml:space="preserve">Por lo tanto, una gestión segura y de acuerdo con los términos del acuerdo.</w:t>
      </w:r>
    </w:p>
    <w:p>
      <w:pPr>
        <w:pStyle w:val="BodyText"/>
      </w:pPr>
      <w:r>
        <w:t xml:space="preserve">Acceso distante por terceros involucrados en el servicio de</w:t>
      </w:r>
      <w:r>
        <w:t xml:space="preserve"> </w:t>
      </w:r>
      <w:r>
        <w:t xml:space="preserve">El proveedor está estrictamente prohibido.En caso de que un requisito</w:t>
      </w:r>
      <w:r>
        <w:t xml:space="preserve"> </w:t>
      </w:r>
      <w:r>
        <w:t xml:space="preserve">La técnica específica requeriría dicho acceso, no podría</w:t>
      </w:r>
      <w:r>
        <w:t xml:space="preserve"> </w:t>
      </w:r>
      <w:r>
        <w:t xml:space="preserve">establecer que después de haber notificado claramente al patrocinador, proporcionado</w:t>
      </w:r>
      <w:r>
        <w:t xml:space="preserve"> </w:t>
      </w:r>
      <w:r>
        <w:t xml:space="preserve">Una justificación detallada y obtuvo su acuerdo escrito.</w:t>
      </w:r>
    </w:p>
    <w:p>
      <w:pPr>
        <w:pStyle w:val="BodyText"/>
      </w:pPr>
      <w:r>
        <w:t xml:space="preserve">Esta medida garantiza el control y la seguridad de los datos de</w:t>
      </w:r>
      <w:r>
        <w:t xml:space="preserve"> </w:t>
      </w:r>
      <w:r>
        <w:t xml:space="preserve">Patrocinador, asegurando que cualquier excepción a la regla sea debidamente</w:t>
      </w:r>
      <w:r>
        <w:t xml:space="preserve"> </w:t>
      </w:r>
      <w:r>
        <w:t xml:space="preserve">autorizado y documentado.</w:t>
      </w:r>
    </w:p>
    <w:bookmarkEnd w:id="56"/>
    <w:bookmarkStart w:id="57" w:name="X250e476c2345988c12f8217585773b625d97858"/>
    <w:p>
      <w:pPr>
        <w:pStyle w:val="Heading2"/>
      </w:pPr>
      <w:r>
        <w:t xml:space="preserve">9.4.Responsabilidades de terceros que participan en la provisión del Servicio Secure Temple</w:t>
      </w:r>
    </w:p>
    <w:p>
      <w:pPr>
        <w:pStyle w:val="FirstParagraph"/>
      </w:pPr>
      <w:r>
        <w:t xml:space="preserve">El proveedor de servicios domina la lista de tercer socio que participa en el</w:t>
      </w:r>
      <w:r>
        <w:t xml:space="preserve"> </w:t>
      </w:r>
      <w:r>
        <w:t xml:space="preserve">Suministro del servicio.Estos terceros son editores, proveedores (de</w:t>
      </w:r>
      <w:r>
        <w:t xml:space="preserve"> </w:t>
      </w:r>
      <w:r>
        <w:t xml:space="preserve">Proveedor de servicios) y otros proveedores que participan en el suministro de</w:t>
      </w:r>
      <w:r>
        <w:t xml:space="preserve"> </w:t>
      </w:r>
      <w:r>
        <w:t xml:space="preserve">Servicio.El proveedor aplica las siguientes medidas a estos terceros:</w:t>
      </w:r>
      <w:r>
        <w:t xml:space="preserve"> </w:t>
      </w:r>
      <w:r>
        <w:t xml:space="preserve">- Le Prestataire exige des tiers participant à la mise en œuvre du</w:t>
      </w:r>
      <w:r>
        <w:t xml:space="preserve"> </w:t>
      </w:r>
      <w:r>
        <w:t xml:space="preserve">service, dans leur contribution au Service, un niveau de sécurité au</w:t>
      </w:r>
      <w:r>
        <w:t xml:space="preserve"> </w:t>
      </w:r>
      <w:r>
        <w:t xml:space="preserve">moins équivalent à celui qu’il s’engage à maintenir dans sa propre</w:t>
      </w:r>
      <w:r>
        <w:t xml:space="preserve"> </w:t>
      </w:r>
      <w:r>
        <w:t xml:space="preserve">politique de sécurité applicable au service Secure Temple ;</w:t>
      </w:r>
    </w:p>
    <w:p>
      <w:pPr>
        <w:numPr>
          <w:ilvl w:val="0"/>
          <w:numId w:val="1022"/>
        </w:numPr>
      </w:pPr>
      <w:r>
        <w:t xml:space="preserve">Le Prestataire contractualise, avec chacun des tiers participant à la</w:t>
      </w:r>
      <w:r>
        <w:t xml:space="preserve"> </w:t>
      </w:r>
      <w:r>
        <w:t xml:space="preserve">mise en œuvre du service, des clauses d’audit permettant à un</w:t>
      </w:r>
      <w:r>
        <w:t xml:space="preserve"> </w:t>
      </w:r>
      <w:r>
        <w:t xml:space="preserve">organisme de qualification de vérifier que ces tiers respectent les</w:t>
      </w:r>
      <w:r>
        <w:t xml:space="preserve"> </w:t>
      </w:r>
      <w:r>
        <w:t xml:space="preserve">exigences légales et les exigences SNC, permettant au Prestataire de</w:t>
      </w:r>
      <w:r>
        <w:t xml:space="preserve"> </w:t>
      </w:r>
      <w:r>
        <w:t xml:space="preserve">respecter ses engagements dans la présente Convention de service.</w:t>
      </w:r>
    </w:p>
    <w:p>
      <w:pPr>
        <w:numPr>
          <w:ilvl w:val="0"/>
          <w:numId w:val="1022"/>
        </w:numPr>
      </w:pPr>
      <w:r>
        <w:t xml:space="preserve">Le Prestataire met en œuvre une procédure permettant de contrôler</w:t>
      </w:r>
      <w:r>
        <w:t xml:space="preserve"> </w:t>
      </w:r>
      <w:r>
        <w:t xml:space="preserve">régulièrement les mesures mises en place par les tiers participant à</w:t>
      </w:r>
      <w:r>
        <w:t xml:space="preserve"> </w:t>
      </w:r>
      <w:r>
        <w:t xml:space="preserve">la mise en œuvre du service pour respecter les exigences au</w:t>
      </w:r>
      <w:r>
        <w:t xml:space="preserve"> </w:t>
      </w:r>
      <w:r>
        <w:t xml:space="preserve">Prestataire de respecter ses engagements dans la présente Convention</w:t>
      </w:r>
      <w:r>
        <w:t xml:space="preserve"> </w:t>
      </w:r>
      <w:r>
        <w:t xml:space="preserve">de service.</w:t>
      </w:r>
    </w:p>
    <w:p>
      <w:pPr>
        <w:numPr>
          <w:ilvl w:val="0"/>
          <w:numId w:val="1022"/>
        </w:numPr>
      </w:pPr>
      <w:r>
        <w:t xml:space="preserve">Le Prestataire assure un suivi des changements apportés par les tiers</w:t>
      </w:r>
      <w:r>
        <w:t xml:space="preserve"> </w:t>
      </w:r>
      <w:r>
        <w:t xml:space="preserve">participant à la mise en œuvre du service susceptibles d'affecter le</w:t>
      </w:r>
      <w:r>
        <w:t xml:space="preserve"> </w:t>
      </w:r>
      <w:r>
        <w:t xml:space="preserve">niveau de sécurité du système d'information du service.</w:t>
      </w:r>
    </w:p>
    <w:bookmarkEnd w:id="57"/>
    <w:bookmarkStart w:id="58" w:name="Xbd21615f0e3cd6fc40fb488e594a199b07d0177"/>
    <w:p>
      <w:pPr>
        <w:pStyle w:val="Heading2"/>
      </w:pPr>
      <w:r>
        <w:t xml:space="preserve">9.5. Responsabilités et obligations du COMMANDITAIRE</w:t>
      </w:r>
    </w:p>
    <w:p>
      <w:pPr>
        <w:pStyle w:val="FirstParagraph"/>
      </w:pPr>
      <w:r>
        <w:t xml:space="preserve">Le COMMANDITAIRE dispose des obligations suivantes dans le cadre du</w:t>
      </w:r>
      <w:r>
        <w:t xml:space="preserve"> </w:t>
      </w:r>
      <w:r>
        <w:t xml:space="preserve">Service :</w:t>
      </w:r>
    </w:p>
    <w:p>
      <w:pPr>
        <w:numPr>
          <w:ilvl w:val="0"/>
          <w:numId w:val="1023"/>
        </w:numPr>
      </w:pPr>
      <w:r>
        <w:t xml:space="preserve">Pour rappel, le Prestataire fournit au COMMANDITAIRE une plateforme</w:t>
      </w:r>
      <w:r>
        <w:t xml:space="preserve"> </w:t>
      </w:r>
      <w:r>
        <w:t xml:space="preserve">d’exécution de machines virtuelles, la configuration de celles-ci est</w:t>
      </w:r>
      <w:r>
        <w:t xml:space="preserve"> </w:t>
      </w:r>
      <w:r>
        <w:t xml:space="preserve">à la charge du COMMANDITAIRE. Chaque machine virtuelle ne peut</w:t>
      </w:r>
      <w:r>
        <w:t xml:space="preserve"> </w:t>
      </w:r>
      <w:r>
        <w:t xml:space="preserve">fonctionner sans une politique de sauvegarde associée. Le Prestataire</w:t>
      </w:r>
      <w:r>
        <w:t xml:space="preserve"> </w:t>
      </w:r>
      <w:r>
        <w:t xml:space="preserve">définit via ses interfaces des politiques de sauvegarde automatiques.</w:t>
      </w:r>
      <w:r>
        <w:t xml:space="preserve"> </w:t>
      </w:r>
      <w:r>
        <w:t xml:space="preserve">Mais c’est à la charge du COMMANDITAIRE l’activation de ces politiques</w:t>
      </w:r>
      <w:r>
        <w:t xml:space="preserve"> </w:t>
      </w:r>
      <w:r>
        <w:t xml:space="preserve">de sauvegarde et donc d’activer les machines virtuelles.</w:t>
      </w:r>
    </w:p>
    <w:p>
      <w:pPr>
        <w:numPr>
          <w:ilvl w:val="0"/>
          <w:numId w:val="1023"/>
        </w:numPr>
      </w:pPr>
      <w:r>
        <w:t xml:space="preserve">Le COMMANDITAIRE autorise l’ANSSI et l’organisme de qualification SNC</w:t>
      </w:r>
      <w:r>
        <w:t xml:space="preserve"> </w:t>
      </w:r>
      <w:r>
        <w:t xml:space="preserve">à auditer le Service et l’infrastructure technique délivrant le</w:t>
      </w:r>
      <w:r>
        <w:t xml:space="preserve"> </w:t>
      </w:r>
      <w:r>
        <w:t xml:space="preserve">Service.</w:t>
      </w:r>
    </w:p>
    <w:p>
      <w:pPr>
        <w:numPr>
          <w:ilvl w:val="0"/>
          <w:numId w:val="1023"/>
        </w:numPr>
      </w:pPr>
      <w:r>
        <w:t xml:space="preserve">Le COMMANDITAIRE est responsable d'indiquer au Prestataire les</w:t>
      </w:r>
      <w:r>
        <w:t xml:space="preserve"> </w:t>
      </w:r>
      <w:r>
        <w:t xml:space="preserve">Cualquier requisito sectorial específico vinculado a tipos</w:t>
      </w:r>
      <w:r>
        <w:t xml:space="preserve"> </w:t>
      </w:r>
      <w:r>
        <w:t xml:space="preserve">Información confiada por el patrocinador y que requiere ser</w:t>
      </w:r>
      <w:r>
        <w:t xml:space="preserve"> </w:t>
      </w:r>
      <w:r>
        <w:t xml:space="preserve">Tomado en cuenta por el proveedor de servicios.</w:t>
      </w:r>
    </w:p>
    <w:p>
      <w:pPr>
        <w:numPr>
          <w:ilvl w:val="0"/>
          <w:numId w:val="1023"/>
        </w:numPr>
      </w:pPr>
      <w:r>
        <w:t xml:space="preserve">El patrocinador acepta no preguntarle al proveedor de</w:t>
      </w:r>
      <w:r>
        <w:t xml:space="preserve"> </w:t>
      </w:r>
      <w:r>
        <w:t xml:space="preserve">requisitos o acciones derogadas del proveedor de servicios de los requisitos de</w:t>
      </w:r>
      <w:r>
        <w:t xml:space="preserve"> </w:t>
      </w:r>
      <w:r>
        <w:t xml:space="preserve">Repositorio de reclumcloud en su versión actual de una parte, o</w:t>
      </w:r>
      <w:r>
        <w:t xml:space="preserve"> </w:t>
      </w:r>
      <w:r>
        <w:t xml:space="preserve">reducir el nivel de seguridad establecido por el cumplimiento de los requisitos de</w:t>
      </w:r>
      <w:r>
        <w:t xml:space="preserve"> </w:t>
      </w:r>
      <w:r>
        <w:t xml:space="preserve">Este mismo repositorio, por otro lado.</w:t>
      </w:r>
      <w:r>
        <w:t xml:space="preserve"> </w:t>
      </w:r>
      <w:r>
        <w:t xml:space="preserve">## 9.6. Droits du COMMANDITAIRE</w:t>
      </w:r>
    </w:p>
    <w:p>
      <w:pPr>
        <w:pStyle w:val="FirstParagraph"/>
      </w:pPr>
      <w:r>
        <w:t xml:space="preserve">À tout moment au cours de la relation contractuelle, le COMMANDITAIRE</w:t>
      </w:r>
      <w:r>
        <w:t xml:space="preserve"> </w:t>
      </w:r>
      <w:r>
        <w:t xml:space="preserve">peut déposer une réclamation relative au service qualifié auprès de</w:t>
      </w:r>
      <w:r>
        <w:t xml:space="preserve"> </w:t>
      </w:r>
      <w:r>
        <w:t xml:space="preserve">l’ANSSI.</w:t>
      </w:r>
    </w:p>
    <w:p>
      <w:pPr>
        <w:pStyle w:val="BodyText"/>
      </w:pPr>
      <w:r>
        <w:t xml:space="preserve">À tout moment, le COMMANDITAIRE peut demander au Prestataire de lui</w:t>
      </w:r>
      <w:r>
        <w:t xml:space="preserve"> </w:t>
      </w:r>
      <w:r>
        <w:t xml:space="preserve">rendre accessible son règlement intérieur et sa charte d’éthique.</w:t>
      </w:r>
    </w:p>
    <w:bookmarkEnd w:id="58"/>
    <w:bookmarkStart w:id="59" w:name="effacement-des-données-en-fin-de-contrat"/>
    <w:p>
      <w:pPr>
        <w:pStyle w:val="Heading2"/>
      </w:pPr>
      <w:r>
        <w:t xml:space="preserve">9.7. Effacement des données en fin de Contrat</w:t>
      </w:r>
    </w:p>
    <w:p>
      <w:pPr>
        <w:pStyle w:val="FirstParagraph"/>
      </w:pPr>
      <w:r>
        <w:t xml:space="preserve">À l’issue du contrat, qu’il arrive à échéance ou qu’il soit résilié pour</w:t>
      </w:r>
      <w:r>
        <w:t xml:space="preserve"> </w:t>
      </w:r>
      <w:r>
        <w:t xml:space="preserve">Cualquiera que sea la razón, el proveedor de servicios se compromete a proceder a</w:t>
      </w:r>
      <w:r>
        <w:t xml:space="preserve"> </w:t>
      </w:r>
      <w:r>
        <w:t xml:space="preserve">El borrado seguro de todos los datos del patrocinador,</w:t>
      </w:r>
      <w:r>
        <w:t xml:space="preserve"> </w:t>
      </w:r>
      <w:r>
        <w:t xml:space="preserve">incluyendo datos técnicos.El proveedor de servicios se asegurará de que</w:t>
      </w:r>
      <w:r>
        <w:t xml:space="preserve"> </w:t>
      </w:r>
      <w:r>
        <w:t xml:space="preserve">al patrocinador un aviso formal, respetando un período de veintiún</w:t>
      </w:r>
      <w:r>
        <w:t xml:space="preserve"> </w:t>
      </w:r>
      <w:r>
        <w:t xml:space="preserve">(21) Días calendario.Los datos del patrocinador serán</w:t>
      </w:r>
      <w:r>
        <w:t xml:space="preserve"> </w:t>
      </w:r>
      <w:r>
        <w:t xml:space="preserve">eliminado dentro de un máximo de treinta (30) días de este</w:t>
      </w:r>
      <w:r>
        <w:t xml:space="preserve"> </w:t>
      </w:r>
      <w:r>
        <w:t xml:space="preserve">notificación.</w:t>
      </w:r>
    </w:p>
    <w:p>
      <w:pPr>
        <w:pStyle w:val="BodyText"/>
      </w:pPr>
      <w:r>
        <w:t xml:space="preserve">Para dar fe de esta eliminación, el proveedor le dará al</w:t>
      </w:r>
      <w:r>
        <w:t xml:space="preserve"> </w:t>
      </w:r>
      <w:r>
        <w:t xml:space="preserve">Patrocinar un certificado que confirma la eliminación de datos.</w:t>
      </w:r>
    </w:p>
    <w:bookmarkEnd w:id="59"/>
    <w:bookmarkEnd w:id="60"/>
    <w:bookmarkStart w:id="74" w:name="X577a16ece8282620224122fd1cdf5251f1e68cb"/>
    <w:p>
      <w:pPr>
        <w:pStyle w:val="Heading1"/>
      </w:pPr>
      <w:r>
        <w:t xml:space="preserve">10. Ciclo de vida de este acuerdo de servicio</w:t>
      </w:r>
    </w:p>
    <w:bookmarkStart w:id="63" w:name="entrada-del-acuerdo-de-servicio"/>
    <w:p>
      <w:pPr>
        <w:pStyle w:val="Heading2"/>
      </w:pPr>
      <w:r>
        <w:t xml:space="preserve">10.1.Entrada del acuerdo de servicio</w:t>
      </w:r>
    </w:p>
    <w:p>
      <w:pPr>
        <w:pStyle w:val="FirstParagraph"/>
      </w:pPr>
      <w:r>
        <w:t xml:space="preserve">Este acuerdo de servicio es de hecho el día de su firma</w:t>
      </w:r>
      <w:r>
        <w:t xml:space="preserve"> </w:t>
      </w:r>
      <w:r>
        <w:t xml:space="preserve">por el patrocinador.</w:t>
      </w:r>
    </w:p>
    <w:p>
      <w:pPr>
        <w:pStyle w:val="BodyText"/>
      </w:pPr>
      <w:r>
        <w:t xml:space="preserve">Recopilación, manejo, almacenamiento y procesamiento de datos</w:t>
      </w:r>
      <w:r>
        <w:t xml:space="preserve"> </w:t>
      </w:r>
      <w:r>
        <w:t xml:space="preserve">hechos dentro del marco de la preventa, la implementación, el juicio del</w:t>
      </w:r>
      <w:r>
        <w:t xml:space="preserve"> </w:t>
      </w:r>
      <w:r>
        <w:t xml:space="preserve">Servicio, se realizan de conformidad con la legislación vigente.</w:t>
      </w:r>
      <w:r>
        <w:t xml:space="preserve"> </w:t>
      </w:r>
      <w:r>
        <w:t xml:space="preserve">## 10.2. Évolutions de la Convention de service</w:t>
      </w:r>
    </w:p>
    <w:p>
      <w:pPr>
        <w:pStyle w:val="BodyText"/>
      </w:pPr>
      <w:r>
        <w:t xml:space="preserve">Les modifications ou ajouts apportés à la présente Convention de service</w:t>
      </w:r>
      <w:r>
        <w:t xml:space="preserve"> </w:t>
      </w:r>
      <w:r>
        <w:t xml:space="preserve">découlent exclusivement des requêtes formulées par les organes de</w:t>
      </w:r>
      <w:r>
        <w:t xml:space="preserve"> </w:t>
      </w:r>
      <w:r>
        <w:t xml:space="preserve">gouvernance désignés à cet effet. Ces propositions de changement seront</w:t>
      </w:r>
      <w:r>
        <w:t xml:space="preserve"> </w:t>
      </w:r>
      <w:r>
        <w:t xml:space="preserve">examinées par les Parties, habilitées à déterminer les aspects</w:t>
      </w:r>
      <w:r>
        <w:t xml:space="preserve"> </w:t>
      </w:r>
      <w:r>
        <w:t xml:space="preserve">nécessitant une formalisation écrite.</w:t>
      </w:r>
    </w:p>
    <w:p>
      <w:pPr>
        <w:pStyle w:val="BodyText"/>
      </w:pPr>
      <w:r>
        <w:t xml:space="preserve">Il est convenu que toute évolution de la Convention de service, après</w:t>
      </w:r>
      <w:r>
        <w:t xml:space="preserve"> </w:t>
      </w:r>
      <w:r>
        <w:t xml:space="preserve">validation, qui altère les conditions financières initialement établies,</w:t>
      </w:r>
      <w:r>
        <w:t xml:space="preserve"> </w:t>
      </w:r>
      <w:r>
        <w:t xml:space="preserve">nécessitera l’établissement et la signature d’un avenant au Contrat en</w:t>
      </w:r>
      <w:r>
        <w:t xml:space="preserve"> </w:t>
      </w:r>
      <w:r>
        <w:t xml:space="preserve">cours.</w:t>
      </w:r>
    </w:p>
    <w:p>
      <w:pPr>
        <w:pStyle w:val="BodyText"/>
      </w:pPr>
      <w:r>
        <w:t xml:space="preserve">Les facteurs pouvant induire une révision de cette Convention de service</w:t>
      </w:r>
      <w:r>
        <w:t xml:space="preserve"> </w:t>
      </w:r>
      <w:r>
        <w:t xml:space="preserve">incluent, sans s’y limiter :</w:t>
      </w:r>
    </w:p>
    <w:p>
      <w:pPr>
        <w:pStyle w:val="Compact"/>
        <w:numPr>
          <w:ilvl w:val="0"/>
          <w:numId w:val="1024"/>
        </w:numPr>
      </w:pPr>
      <w:r>
        <w:t xml:space="preserve">L’évolution de l’infrastructure technique délivrant le Service IaaS ;</w:t>
      </w:r>
    </w:p>
    <w:p>
      <w:pPr>
        <w:pStyle w:val="Compact"/>
        <w:numPr>
          <w:ilvl w:val="0"/>
          <w:numId w:val="1024"/>
        </w:numPr>
      </w:pPr>
      <w:r>
        <w:t xml:space="preserve">Les ajustements apportés aux services déployés par le Prestataire pour</w:t>
      </w:r>
      <w:r>
        <w:t xml:space="preserve"> </w:t>
      </w:r>
      <w:r>
        <w:t xml:space="preserve">fournir le Service ;</w:t>
      </w:r>
    </w:p>
    <w:p>
      <w:pPr>
        <w:pStyle w:val="Compact"/>
        <w:numPr>
          <w:ilvl w:val="0"/>
          <w:numId w:val="1024"/>
        </w:numPr>
      </w:pPr>
      <w:r>
        <w:t xml:space="preserve">Les variations des engagements pris et des sanctions applicables ;</w:t>
      </w:r>
    </w:p>
    <w:p>
      <w:pPr>
        <w:pStyle w:val="Compact"/>
        <w:numPr>
          <w:ilvl w:val="0"/>
          <w:numId w:val="1024"/>
        </w:numPr>
      </w:pPr>
      <w:r>
        <w:t xml:space="preserve">Les reconfigurations organisationnelles au sein du COMMANDITAIRE ou du</w:t>
      </w:r>
      <w:r>
        <w:t xml:space="preserve"> </w:t>
      </w:r>
      <w:r>
        <w:t xml:space="preserve">Prestataire ;</w:t>
      </w:r>
    </w:p>
    <w:p>
      <w:pPr>
        <w:pStyle w:val="Compact"/>
        <w:numPr>
          <w:ilvl w:val="0"/>
          <w:numId w:val="1024"/>
        </w:numPr>
      </w:pPr>
      <w:r>
        <w:t xml:space="preserve">L’expansion ou la réduction du champ d’application du Service.</w:t>
      </w:r>
    </w:p>
    <w:p>
      <w:pPr>
        <w:pStyle w:val="FirstParagraph"/>
      </w:pPr>
      <w:r>
        <w:t xml:space="preserve">La gestion des versions et des révisions de la Convention de service est</w:t>
      </w:r>
      <w:r>
        <w:t xml:space="preserve"> </w:t>
      </w:r>
      <w:r>
        <w:t xml:space="preserve">consignée en préambule du document pour en faciliter le suivi.</w:t>
      </w:r>
    </w:p>
    <w:bookmarkStart w:id="61" w:name="Xfb442e3e8266336eea3e18933874a07a3e4f51e"/>
    <w:p>
      <w:pPr>
        <w:pStyle w:val="Heading3"/>
      </w:pPr>
      <w:r>
        <w:t xml:space="preserve">10.2.1. Évolutions déclenchées par le COMMANDITAIRE</w:t>
      </w:r>
    </w:p>
    <w:p>
      <w:pPr>
        <w:pStyle w:val="FirstParagraph"/>
      </w:pPr>
      <w:r>
        <w:t xml:space="preserve">Les évolutions de la Convention de service peuvent avoir, notamment,</w:t>
      </w:r>
      <w:r>
        <w:t xml:space="preserve"> </w:t>
      </w:r>
      <w:r>
        <w:t xml:space="preserve">pour origine :</w:t>
      </w:r>
    </w:p>
    <w:p>
      <w:pPr>
        <w:numPr>
          <w:ilvl w:val="0"/>
          <w:numId w:val="1025"/>
        </w:numPr>
      </w:pPr>
      <w:r>
        <w:t xml:space="preserve">Une évolution de l’infrastructure gérée par le Prestataire ;</w:t>
      </w:r>
    </w:p>
    <w:p>
      <w:pPr>
        <w:numPr>
          <w:ilvl w:val="0"/>
          <w:numId w:val="1025"/>
        </w:numPr>
      </w:pPr>
      <w:r>
        <w:t xml:space="preserve">Une modification des services mis en œuvre par le Prestataire ;</w:t>
      </w:r>
    </w:p>
    <w:p>
      <w:pPr>
        <w:numPr>
          <w:ilvl w:val="0"/>
          <w:numId w:val="1025"/>
        </w:numPr>
      </w:pPr>
      <w:r>
        <w:t xml:space="preserve">Une modification des engagements de niveaux de services par le</w:t>
      </w:r>
      <w:r>
        <w:t xml:space="preserve"> </w:t>
      </w:r>
      <w:r>
        <w:t xml:space="preserve">Prestataire.</w:t>
      </w:r>
    </w:p>
    <w:bookmarkEnd w:id="61"/>
    <w:bookmarkStart w:id="62" w:name="X9885f9beff403b3226b4a1323a97bff1440ecb8"/>
    <w:p>
      <w:pPr>
        <w:pStyle w:val="Heading3"/>
      </w:pPr>
      <w:r>
        <w:t xml:space="preserve">10.2.2. Évolutions déclenchées par le Prestataire</w:t>
      </w:r>
    </w:p>
    <w:p>
      <w:pPr>
        <w:pStyle w:val="FirstParagraph"/>
      </w:pPr>
      <w:r>
        <w:t xml:space="preserve">Toute modification de la Convention de service est soumise à acceptation</w:t>
      </w:r>
      <w:r>
        <w:t xml:space="preserve"> </w:t>
      </w:r>
      <w:r>
        <w:t xml:space="preserve">du COMMANDITAIRE. Il est entendu que toute modification ou complément</w:t>
      </w:r>
      <w:r>
        <w:t xml:space="preserve"> </w:t>
      </w:r>
      <w:r>
        <w:t xml:space="preserve">validés modifiant les éléments financiers du Contrat, pourra impliquer</w:t>
      </w:r>
      <w:r>
        <w:t xml:space="preserve"> </w:t>
      </w:r>
      <w:r>
        <w:t xml:space="preserve">la signature d’un avenant à celui-ci.</w:t>
      </w:r>
    </w:p>
    <w:bookmarkEnd w:id="62"/>
    <w:bookmarkEnd w:id="63"/>
    <w:bookmarkStart w:id="64" w:name="réversibilité"/>
    <w:p>
      <w:pPr>
        <w:pStyle w:val="Heading2"/>
      </w:pPr>
      <w:r>
        <w:t xml:space="preserve">10.3. Réversibilité</w:t>
      </w:r>
    </w:p>
    <w:p>
      <w:pPr>
        <w:pStyle w:val="FirstParagraph"/>
      </w:pPr>
      <w:r>
        <w:t xml:space="preserve">Además, el templo de la nube se compromete a permitir una revisión de este</w:t>
      </w:r>
      <w:r>
        <w:t xml:space="preserve"> </w:t>
      </w:r>
      <w:r>
        <w:t xml:space="preserve">Acuerdo de servicio (proporcionando en particular su terminación) sin penalización</w:t>
      </w:r>
      <w:r>
        <w:t xml:space="preserve"> </w:t>
      </w:r>
      <w:r>
        <w:t xml:space="preserve">Para el patrocinador en caso de pérdida de la calificación SECUNUMCLOUD.</w:t>
      </w:r>
    </w:p>
    <w:p>
      <w:pPr>
        <w:pStyle w:val="BodyText"/>
      </w:pPr>
      <w:r>
        <w:t xml:space="preserve">Los servicios no incluyen una obligación de reversibilidad (a saber,</w:t>
      </w:r>
      <w:r>
        <w:t xml:space="preserve"> </w:t>
      </w:r>
      <w:r>
        <w:t xml:space="preserve">ayuda al patrocinador para que pueda migrar su sistema a un</w:t>
      </w:r>
      <w:r>
        <w:t xml:space="preserve"> </w:t>
      </w:r>
      <w:r>
        <w:t xml:space="preserve">otro “proveedor) con la excepción de la provisión de</w:t>
      </w:r>
      <w:r>
        <w:t xml:space="preserve"> </w:t>
      </w:r>
      <w:r>
        <w:t xml:space="preserve">Patrocinador del proveedor de la interfaz del patrocinador que permite</w:t>
      </w:r>
      <w:r>
        <w:t xml:space="preserve"> </w:t>
      </w:r>
      <w:r>
        <w:t xml:space="preserve">el patrocinador para guardar y recuperar sus datos, incluidos</w:t>
      </w:r>
      <w:r>
        <w:t xml:space="preserve"> </w:t>
      </w:r>
      <w:r>
        <w:t xml:space="preserve">en particular datos de configuración de su sistema de información a través de</w:t>
      </w:r>
      <w:r>
        <w:t xml:space="preserve"> </w:t>
      </w:r>
      <w:r>
        <w:t xml:space="preserve">uno de los siguientes términos técnicos para la elección del patrocinador: el</w:t>
      </w:r>
      <w:r>
        <w:t xml:space="preserve"> </w:t>
      </w:r>
      <w:r>
        <w:t xml:space="preserve">Provisión de archivos de acuerdo con uno o más formatos</w:t>
      </w:r>
      <w:r>
        <w:t xml:space="preserve"> </w:t>
      </w:r>
      <w:r>
        <w:t xml:space="preserve">documentado y utilizable fuera del servicio proporcionado por el</w:t>
      </w:r>
      <w:r>
        <w:t xml:space="preserve"> </w:t>
      </w:r>
      <w:r>
        <w:t xml:space="preserve">Proveedor o mediante la implementación de interfaces técnicas</w:t>
      </w:r>
      <w:r>
        <w:t xml:space="preserve"> </w:t>
      </w:r>
      <w:r>
        <w:t xml:space="preserve">permitiendo el acceso a los datos de acuerdo con un documentado y</w:t>
      </w:r>
      <w:r>
        <w:t xml:space="preserve"> </w:t>
      </w:r>
      <w:r>
        <w:t xml:space="preserve">Utilizable (API).</w:t>
      </w:r>
      <w:r>
        <w:t xml:space="preserve"> </w:t>
      </w:r>
      <w:r>
        <w:t xml:space="preserve">El patrocinador, el único maestro de su sistema, debe hacer todo</w:t>
      </w:r>
      <w:r>
        <w:t xml:space="preserve"> </w:t>
      </w:r>
      <w:r>
        <w:t xml:space="preserve">para facilitar esta operación según sea necesario (lo que implica,</w:t>
      </w:r>
      <w:r>
        <w:t xml:space="preserve"> </w:t>
      </w:r>
      <w:r>
        <w:t xml:space="preserve">en particular, que establece una documentación rigurosa para esto</w:t>
      </w:r>
      <w:r>
        <w:t xml:space="preserve"> </w:t>
      </w:r>
      <w:r>
        <w:t xml:space="preserve">efecto) y el desarrollo de planes de reversibilidad.En el caso de que el</w:t>
      </w:r>
      <w:r>
        <w:t xml:space="preserve"> </w:t>
      </w:r>
      <w:r>
        <w:t xml:space="preserve">El patrocinador necesitaría un servicio adicional, el</w:t>
      </w:r>
      <w:r>
        <w:t xml:space="preserve"> </w:t>
      </w:r>
      <w:r>
        <w:t xml:space="preserve">El proveedor puede proponer una misión de consultoría a este respecto en el</w:t>
      </w:r>
      <w:r>
        <w:t xml:space="preserve"> </w:t>
      </w:r>
      <w:r>
        <w:t xml:space="preserve">marco de un contrato específico para negociar.</w:t>
      </w:r>
      <w:r>
        <w:t xml:space="preserve"> </w:t>
      </w:r>
      <w:r>
        <w:t xml:space="preserve"># 11. Disponibilidad, continuidad y restauración del servicio</w:t>
      </w:r>
    </w:p>
    <w:bookmarkEnd w:id="64"/>
    <w:bookmarkStart w:id="69" w:name="gestión-de-incidentes-e-interrupciones"/>
    <w:p>
      <w:pPr>
        <w:pStyle w:val="Heading2"/>
      </w:pPr>
      <w:r>
        <w:t xml:space="preserve">11.1.Gestión de incidentes e interrupciones</w:t>
      </w:r>
    </w:p>
    <w:bookmarkStart w:id="65" w:name="incidentes"/>
    <w:p>
      <w:pPr>
        <w:pStyle w:val="Heading3"/>
      </w:pPr>
      <w:r>
        <w:t xml:space="preserve">11.1.1.Incidentes</w:t>
      </w:r>
    </w:p>
    <w:bookmarkEnd w:id="65"/>
    <w:bookmarkStart w:id="66" w:name="Xf67b3857f730f125a4b29a07d4429975d026fe7"/>
    <w:p>
      <w:pPr>
        <w:pStyle w:val="Heading3"/>
      </w:pPr>
      <w:r>
        <w:t xml:space="preserve">11.1.1.1.Tipos de incidentes tratados como parte de este acuerdo de servicio</w:t>
      </w:r>
    </w:p>
    <w:p>
      <w:pPr>
        <w:numPr>
          <w:ilvl w:val="0"/>
          <w:numId w:val="1026"/>
        </w:numPr>
      </w:pPr>
      <w:r>
        <w:t xml:space="preserve">reclamos;</w:t>
      </w:r>
    </w:p>
    <w:p>
      <w:pPr>
        <w:numPr>
          <w:ilvl w:val="0"/>
          <w:numId w:val="1026"/>
        </w:numPr>
      </w:pPr>
      <w:r>
        <w:t xml:space="preserve">Desgloses y fallas;</w:t>
      </w:r>
    </w:p>
    <w:p>
      <w:pPr>
        <w:numPr>
          <w:ilvl w:val="0"/>
          <w:numId w:val="1026"/>
        </w:numPr>
      </w:pPr>
      <w:r>
        <w:t xml:space="preserve">Incidentes de seguridad que afectan la disponibilidad, confidencialidad</w:t>
      </w:r>
      <w:r>
        <w:t xml:space="preserve"> </w:t>
      </w:r>
      <w:r>
        <w:t xml:space="preserve">o la integridad del servicio.</w:t>
      </w:r>
    </w:p>
    <w:bookmarkEnd w:id="66"/>
    <w:bookmarkStart w:id="67" w:name="tratamiento-de-incidentes"/>
    <w:p>
      <w:pPr>
        <w:pStyle w:val="Heading3"/>
      </w:pPr>
      <w:r>
        <w:t xml:space="preserve">11.1.1.2.Tratamiento de incidentes</w:t>
      </w:r>
    </w:p>
    <w:p>
      <w:pPr>
        <w:pStyle w:val="BlockText"/>
      </w:pPr>
      <w:r>
        <w:t xml:space="preserve">El proveedor de servicios informa al patrocinador lo antes posible,</w:t>
      </w:r>
      <w:r>
        <w:t xml:space="preserve"> </w:t>
      </w:r>
      <w:r>
        <w:t xml:space="preserve">Incidentes e interrupciones, por medio de una notificación en el</w:t>
      </w:r>
      <w:r>
        <w:t xml:space="preserve"> </w:t>
      </w:r>
      <w:r>
        <w:t xml:space="preserve">Contante de la consola o por correo electrónico en contacto con el patrocinador.EL</w:t>
      </w:r>
      <w:r>
        <w:t xml:space="preserve"> </w:t>
      </w:r>
      <w:r>
        <w:t xml:space="preserve">El proveedor informa al patrocinador del tratamiento del incidente por</w:t>
      </w:r>
      <w:r>
        <w:t xml:space="preserve"> </w:t>
      </w:r>
      <w:r>
        <w:t xml:space="preserve">El canal utilizado para notificar el incidente, o por el canal indicado</w:t>
      </w:r>
      <w:r>
        <w:t xml:space="preserve"> </w:t>
      </w:r>
      <w:r>
        <w:t xml:space="preserve">En la notificación del incidente.</w:t>
      </w:r>
    </w:p>
    <w:bookmarkEnd w:id="67"/>
    <w:bookmarkStart w:id="68" w:name="X34f13b20b1943f2090e194993c0968bbdc6c71a"/>
    <w:p>
      <w:pPr>
        <w:pStyle w:val="Heading3"/>
      </w:pPr>
      <w:r>
        <w:t xml:space="preserve">11.1.1.3.Nivel de notificación de incidentes de seguridad</w:t>
      </w:r>
    </w:p>
    <w:p>
      <w:pPr>
        <w:pStyle w:val="FirstParagraph"/>
      </w:pPr>
      <w:r>
        <w:t xml:space="preserve">El patrocinador es responsable de elegir los niveles de gravedad</w:t>
      </w:r>
      <w:r>
        <w:t xml:space="preserve"> </w:t>
      </w:r>
      <w:r>
        <w:t xml:space="preserve">incidentes de seguridad para los cuales desea ser informado, por</w:t>
      </w:r>
      <w:r>
        <w:t xml:space="preserve"> </w:t>
      </w:r>
      <w:r>
        <w:t xml:space="preserve">Ejemplo a través de su formalización en un paso aplicable al servicio.</w:t>
      </w:r>
    </w:p>
    <w:p>
      <w:pPr>
        <w:pStyle w:val="BodyText"/>
      </w:pPr>
      <w:r>
        <w:t xml:space="preserve">Por defecto, el patrocinador está informado:</w:t>
      </w:r>
    </w:p>
    <w:p>
      <w:pPr>
        <w:numPr>
          <w:ilvl w:val="0"/>
          <w:numId w:val="1027"/>
        </w:numPr>
      </w:pPr>
      <w:r>
        <w:t xml:space="preserve">Incidentes de seguridad de impacto (I1 e I2 impactos según</w:t>
      </w:r>
      <w:r>
        <w:t xml:space="preserve"> </w:t>
      </w:r>
      <w:r>
        <w:t xml:space="preserve">la escala de impacto definida en el proceso de priorización</w:t>
      </w:r>
      <w:r>
        <w:t xml:space="preserve"> </w:t>
      </w:r>
      <w:r>
        <w:t xml:space="preserve">tratamientos de este acuerdo de servicio);</w:t>
      </w:r>
    </w:p>
    <w:p>
      <w:pPr>
        <w:numPr>
          <w:ilvl w:val="0"/>
          <w:numId w:val="1027"/>
        </w:numPr>
      </w:pPr>
      <w:r>
        <w:t xml:space="preserve">Incidentes de seguridad que afectan la confidencialidad o la integridad</w:t>
      </w:r>
      <w:r>
        <w:t xml:space="preserve"> </w:t>
      </w:r>
      <w:r>
        <w:t xml:space="preserve">datos del patrocinador confiado en el marco del servicio;</w:t>
      </w:r>
    </w:p>
    <w:p>
      <w:pPr>
        <w:numPr>
          <w:ilvl w:val="0"/>
          <w:numId w:val="1027"/>
        </w:numPr>
      </w:pPr>
      <w:r>
        <w:t xml:space="preserve">Violaciones de datos personales para los cuales el</w:t>
      </w:r>
      <w:r>
        <w:t xml:space="preserve"> </w:t>
      </w:r>
      <w:r>
        <w:t xml:space="preserve">El patrocinador es responsable del tratamiento de acuerdo con el artículo 8</w:t>
      </w:r>
      <w:r>
        <w:t xml:space="preserve"> </w:t>
      </w:r>
      <w:r>
        <w:t xml:space="preserve">del Apéndice DPA como parte del servicio;</w:t>
      </w:r>
    </w:p>
    <w:bookmarkEnd w:id="68"/>
    <w:bookmarkEnd w:id="69"/>
    <w:bookmarkStart w:id="73" w:name="X4dcbce9298c5cb9eb81a397f7a9271900d24743"/>
    <w:p>
      <w:pPr>
        <w:pStyle w:val="Heading2"/>
      </w:pPr>
      <w:r>
        <w:t xml:space="preserve">Violaciones de datos personales para las cuales el proveedor de servicios es responsable del procesamiento y comprende datos personales del patrocinador, de acuerdo con el artículo 8 del anexo DPA.11.2.Mantenimiento del servicio</w:t>
      </w:r>
    </w:p>
    <w:bookmarkStart w:id="70" w:name="nature-de-la-maintenance"/>
    <w:p>
      <w:pPr>
        <w:pStyle w:val="Heading3"/>
      </w:pPr>
      <w:r>
        <w:t xml:space="preserve">11.2.1. Nature de la maintenance</w:t>
      </w:r>
    </w:p>
    <w:p>
      <w:pPr>
        <w:pStyle w:val="FirstParagraph"/>
      </w:pPr>
      <w:r>
        <w:t xml:space="preserve">La maintenance assurée consiste en la mise en œuvre :</w:t>
      </w:r>
    </w:p>
    <w:p>
      <w:pPr>
        <w:numPr>
          <w:ilvl w:val="0"/>
          <w:numId w:val="1028"/>
        </w:numPr>
      </w:pPr>
      <w:r>
        <w:t xml:space="preserve">Du plan de maintien en conditions opérationnelles du Service pour</w:t>
      </w:r>
      <w:r>
        <w:t xml:space="preserve"> </w:t>
      </w:r>
      <w:r>
        <w:t xml:space="preserve">assurer de bons indicateurs de disponibilité tels que s’y engage le</w:t>
      </w:r>
      <w:r>
        <w:t xml:space="preserve"> </w:t>
      </w:r>
      <w:r>
        <w:t xml:space="preserve">Prestataire plus haut ;</w:t>
      </w:r>
    </w:p>
    <w:p>
      <w:pPr>
        <w:numPr>
          <w:ilvl w:val="0"/>
          <w:numId w:val="1028"/>
        </w:numPr>
      </w:pPr>
      <w:r>
        <w:t xml:space="preserve">Du plan de PCA/PRA si souscrit par le COMMANDITAIRE déclenché selon</w:t>
      </w:r>
      <w:r>
        <w:t xml:space="preserve"> </w:t>
      </w:r>
      <w:r>
        <w:t xml:space="preserve">les éventuels incidents qui surviendraient.</w:t>
      </w:r>
    </w:p>
    <w:bookmarkEnd w:id="70"/>
    <w:bookmarkStart w:id="71" w:name="X7f5942b621fdb61cfe12dbb913b28bf90a44e6e"/>
    <w:p>
      <w:pPr>
        <w:pStyle w:val="Heading3"/>
      </w:pPr>
      <w:r>
        <w:t xml:space="preserve">11.2.2. Accès distants de Cloud Temple sur le périmètre du COMMANDITAIRE</w:t>
      </w:r>
    </w:p>
    <w:p>
      <w:pPr>
        <w:pStyle w:val="FirstParagraph"/>
      </w:pPr>
      <w:r>
        <w:t xml:space="preserve">Le Prestataire s’interdit, dans le cadre de la présente Convention de</w:t>
      </w:r>
      <w:r>
        <w:t xml:space="preserve"> </w:t>
      </w:r>
      <w:r>
        <w:t xml:space="preserve">service, tout accès aux Tenants et à l’espace de l’interface du</w:t>
      </w:r>
      <w:r>
        <w:t xml:space="preserve"> </w:t>
      </w:r>
      <w:r>
        <w:t xml:space="preserve">COMMANDITAIRE.</w:t>
      </w:r>
    </w:p>
    <w:p>
      <w:pPr>
        <w:pStyle w:val="BodyText"/>
      </w:pPr>
      <w:r>
        <w:t xml:space="preserve">Il incombera au COMMANDITAIRE donner les accès nécessaires au personnel</w:t>
      </w:r>
      <w:r>
        <w:t xml:space="preserve"> </w:t>
      </w:r>
      <w:r>
        <w:t xml:space="preserve">du Prestataire. Le COMMANDITAIRE reconnaît que les accès seront utilisés</w:t>
      </w:r>
      <w:r>
        <w:t xml:space="preserve"> </w:t>
      </w:r>
      <w:r>
        <w:t xml:space="preserve">dans le cadre de l’hébergement et in fine de l’infogérance (si souscrit</w:t>
      </w:r>
      <w:r>
        <w:t xml:space="preserve"> </w:t>
      </w:r>
      <w:r>
        <w:t xml:space="preserve">par le COMMANDITAIRE).</w:t>
      </w:r>
    </w:p>
    <w:bookmarkEnd w:id="71"/>
    <w:bookmarkStart w:id="72" w:name="Xd1410eb370dafc3d91864e7de6a127bddc82742"/>
    <w:p>
      <w:pPr>
        <w:pStyle w:val="Heading3"/>
      </w:pPr>
      <w:r>
        <w:t xml:space="preserve">11.2.3. Accès distants de tiers participant à la fourniture du service sur le périmètre du COMMANDITAIRE</w:t>
      </w:r>
    </w:p>
    <w:p>
      <w:pPr>
        <w:pStyle w:val="FirstParagraph"/>
      </w:pPr>
      <w:r>
        <w:t xml:space="preserve">No hay acceso lejano a terceros que participan en la provisión del servicio</w:t>
      </w:r>
      <w:r>
        <w:t xml:space="preserve"> </w:t>
      </w:r>
      <w:r>
        <w:t xml:space="preserve">no está permitido.</w:t>
      </w:r>
    </w:p>
    <w:p>
      <w:pPr>
        <w:pStyle w:val="BodyText"/>
      </w:pPr>
      <w:r>
        <w:t xml:space="preserve">Si una necesidad técnica hizo que este caso sea necesario, entonces esto</w:t>
      </w:r>
      <w:r>
        <w:t xml:space="preserve"> </w:t>
      </w:r>
      <w:r>
        <w:t xml:space="preserve">El tipo de acceso solo se llevaría a cabo después de la notificación del patrocinador</w:t>
      </w:r>
      <w:r>
        <w:t xml:space="preserve"> </w:t>
      </w:r>
      <w:r>
        <w:t xml:space="preserve">justificación y obteniendo su acuerdo por escrito.</w:t>
      </w:r>
    </w:p>
    <w:bookmarkEnd w:id="72"/>
    <w:bookmarkEnd w:id="73"/>
    <w:bookmarkEnd w:id="74"/>
    <w:bookmarkStart w:id="75" w:name="X4ece59a2e99ca75f2003532934003138277aee2"/>
    <w:p>
      <w:pPr>
        <w:pStyle w:val="Heading1"/>
      </w:pPr>
      <w:r>
        <w:t xml:space="preserve">12. Procedimiento de eliminación de datos al final del contrato</w:t>
      </w:r>
    </w:p>
    <w:p>
      <w:pPr>
        <w:pStyle w:val="FirstParagraph"/>
      </w:pPr>
      <w:r>
        <w:t xml:space="preserve">Al final del contrato, si el contrato ha llegado a un final o para</w:t>
      </w:r>
      <w:r>
        <w:t xml:space="preserve"> </w:t>
      </w:r>
      <w:r>
        <w:t xml:space="preserve">Cualquier otra causa, el proveedor de servicios aseguró el borrado seguro de</w:t>
      </w:r>
      <w:r>
        <w:t xml:space="preserve"> </w:t>
      </w:r>
      <w:r>
        <w:t xml:space="preserve">l’intégralité des données traitées dans le cadre du Service, y compris</w:t>
      </w:r>
      <w:r>
        <w:t xml:space="preserve"> </w:t>
      </w:r>
      <w:r>
        <w:t xml:space="preserve">les Données techniques du COMMANDITAIRE. Le Prestataire donnera un</w:t>
      </w:r>
      <w:r>
        <w:t xml:space="preserve"> </w:t>
      </w:r>
      <w:r>
        <w:t xml:space="preserve">préavis formel en respectant un délai de vingt et un jours (21)</w:t>
      </w:r>
      <w:r>
        <w:t xml:space="preserve"> </w:t>
      </w:r>
      <w:r>
        <w:t xml:space="preserve">calendaires. Les données du COMMANDITAIRE seront supprimées dans un</w:t>
      </w:r>
      <w:r>
        <w:t xml:space="preserve"> </w:t>
      </w:r>
      <w:r>
        <w:t xml:space="preserve">délai maximum de trente (30) jour après la notification. Le Prestataire</w:t>
      </w:r>
      <w:r>
        <w:t xml:space="preserve"> </w:t>
      </w:r>
      <w:r>
        <w:t xml:space="preserve">fournit un certificat de suppression de données au COMMANDITAIRE.</w:t>
      </w:r>
    </w:p>
    <w:bookmarkEnd w:id="75"/>
    <w:bookmarkStart w:id="80" w:name="droit-applicable"/>
    <w:p>
      <w:pPr>
        <w:pStyle w:val="Heading1"/>
      </w:pPr>
      <w:r>
        <w:t xml:space="preserve">13. Droit applicable</w:t>
      </w:r>
    </w:p>
    <w:bookmarkStart w:id="76" w:name="de-manière-générale"/>
    <w:p>
      <w:pPr>
        <w:pStyle w:val="Heading2"/>
      </w:pPr>
      <w:r>
        <w:t xml:space="preserve">13.1. De manière générale</w:t>
      </w:r>
    </w:p>
    <w:p>
      <w:pPr>
        <w:pStyle w:val="FirstParagraph"/>
      </w:pPr>
      <w:r>
        <w:t xml:space="preserve">Ley aplicable y a la que esta convención de</w:t>
      </w:r>
      <w:r>
        <w:t xml:space="preserve"> </w:t>
      </w:r>
      <w:r>
        <w:t xml:space="preserve">El servicio es la ley francesa.</w:t>
      </w:r>
    </w:p>
    <w:bookmarkEnd w:id="76"/>
    <w:bookmarkStart w:id="77" w:name="X8eafdf29a13e5c19bbf196d3b0d35c74f532d2c"/>
    <w:p>
      <w:pPr>
        <w:pStyle w:val="Heading2"/>
      </w:pPr>
      <w:r>
        <w:t xml:space="preserve">13.2.Cumplimiento de la ley y las regulaciones aplicables</w:t>
      </w:r>
    </w:p>
    <w:p>
      <w:pPr>
        <w:pStyle w:val="FirstParagraph"/>
      </w:pPr>
      <w:r>
        <w:t xml:space="preserve">El proveedor de servicios se involucra en los siguientes puntos:</w:t>
      </w:r>
    </w:p>
    <w:p>
      <w:pPr>
        <w:numPr>
          <w:ilvl w:val="0"/>
          <w:numId w:val="1029"/>
        </w:numPr>
      </w:pPr>
      <w:r>
        <w:t xml:space="preserve">Identificación de restricciones legales y regulatorias aplicables</w:t>
      </w:r>
      <w:r>
        <w:t xml:space="preserve"> </w:t>
      </w:r>
      <w:r>
        <w:t xml:space="preserve">como parte del servicio;</w:t>
      </w:r>
    </w:p>
    <w:p>
      <w:pPr>
        <w:numPr>
          <w:ilvl w:val="0"/>
          <w:numId w:val="1029"/>
        </w:numPr>
      </w:pPr>
      <w:r>
        <w:t xml:space="preserve">cumplimiento de las limitaciones legales y regulatorias aplicables a</w:t>
      </w:r>
      <w:r>
        <w:t xml:space="preserve"> </w:t>
      </w:r>
      <w:r>
        <w:t xml:space="preserve">datos confiados al proveedor de servicios dentro de los límites de las responsabilidades de</w:t>
      </w:r>
      <w:r>
        <w:t xml:space="preserve"> </w:t>
      </w:r>
      <w:r>
        <w:t xml:space="preserve">este último de una acción y las disposiciones previstas en el contrato</w:t>
      </w:r>
      <w:r>
        <w:t xml:space="preserve"> </w:t>
      </w:r>
      <w:r>
        <w:t xml:space="preserve">por otro lado.;</w:t>
      </w:r>
    </w:p>
    <w:p>
      <w:pPr>
        <w:numPr>
          <w:ilvl w:val="0"/>
          <w:numId w:val="1029"/>
        </w:numPr>
      </w:pPr>
      <w:r>
        <w:t xml:space="preserve">Respeto por la Ley de Protección de Datos y el GDPR;</w:t>
      </w:r>
    </w:p>
    <w:p>
      <w:pPr>
        <w:numPr>
          <w:ilvl w:val="0"/>
          <w:numId w:val="1029"/>
        </w:numPr>
      </w:pPr>
      <w:r>
        <w:t xml:space="preserve">La implementación de medios de protección de datos personales;</w:t>
      </w:r>
    </w:p>
    <w:p>
      <w:pPr>
        <w:numPr>
          <w:ilvl w:val="0"/>
          <w:numId w:val="1029"/>
        </w:numPr>
      </w:pPr>
      <w:r>
        <w:t xml:space="preserve">la implementación de un proceso de monitoreo legal y regulatorio;</w:t>
      </w:r>
    </w:p>
    <w:p>
      <w:pPr>
        <w:numPr>
          <w:ilvl w:val="0"/>
          <w:numId w:val="1029"/>
        </w:numPr>
      </w:pPr>
      <w:r>
        <w:t xml:space="preserve">para eliminar y mantener las relaciones apropiadas o ver con</w:t>
      </w:r>
      <w:r>
        <w:t xml:space="preserve"> </w:t>
      </w:r>
      <w:r>
        <w:t xml:space="preserve">Autoridades sectoriales en relación con la naturaleza de los datos procesados</w:t>
      </w:r>
      <w:r>
        <w:t xml:space="preserve"> </w:t>
      </w:r>
      <w:r>
        <w:t xml:space="preserve">dans le cadre du Services. Cela inclus notamment l’ANSSI, le CERT-FR</w:t>
      </w:r>
      <w:r>
        <w:t xml:space="preserve"> </w:t>
      </w:r>
      <w:r>
        <w:t xml:space="preserve">et la CNIL.</w:t>
      </w:r>
    </w:p>
    <w:bookmarkEnd w:id="77"/>
    <w:bookmarkStart w:id="78" w:name="rgpd"/>
    <w:p>
      <w:pPr>
        <w:pStyle w:val="Heading2"/>
      </w:pPr>
      <w:r>
        <w:t xml:space="preserve">13.3. RGPD</w:t>
      </w:r>
    </w:p>
    <w:p>
      <w:pPr>
        <w:pStyle w:val="FirstParagraph"/>
      </w:pPr>
      <w:r>
        <w:t xml:space="preserve">Agissant en qualité de sous-traitant au sens de l’article 28 du</w:t>
      </w:r>
      <w:r>
        <w:t xml:space="preserve"> </w:t>
      </w:r>
      <w:r>
        <w:t xml:space="preserve">Règlement général sur la protection des données (RGPD), le Prestataire</w:t>
      </w:r>
      <w:r>
        <w:t xml:space="preserve"> </w:t>
      </w:r>
      <w:r>
        <w:t xml:space="preserve">s’engage :</w:t>
      </w:r>
    </w:p>
    <w:p>
      <w:pPr>
        <w:numPr>
          <w:ilvl w:val="0"/>
          <w:numId w:val="1030"/>
        </w:numPr>
      </w:pPr>
      <w:r>
        <w:t xml:space="preserve">A assurer la transparence et la traçabilité ;</w:t>
      </w:r>
    </w:p>
    <w:p>
      <w:pPr>
        <w:numPr>
          <w:ilvl w:val="0"/>
          <w:numId w:val="1030"/>
        </w:numPr>
      </w:pPr>
      <w:r>
        <w:t xml:space="preserve">A désigner un DPO en charge de définir et mettre en œuvre les mesures</w:t>
      </w:r>
      <w:r>
        <w:t xml:space="preserve"> </w:t>
      </w:r>
      <w:r>
        <w:t xml:space="preserve">de protection des données à caractère personnel ;</w:t>
      </w:r>
    </w:p>
    <w:p>
      <w:pPr>
        <w:numPr>
          <w:ilvl w:val="0"/>
          <w:numId w:val="1030"/>
        </w:numPr>
      </w:pPr>
      <w:r>
        <w:t xml:space="preserve">Apporter une assistance et du conseil au COMMANDITAIRE en l’alerte si</w:t>
      </w:r>
      <w:r>
        <w:t xml:space="preserve"> </w:t>
      </w:r>
      <w:r>
        <w:t xml:space="preserve">Una investigación de este último constituye una violación de las reglas de</w:t>
      </w:r>
      <w:r>
        <w:t xml:space="preserve"> </w:t>
      </w:r>
      <w:r>
        <w:t xml:space="preserve">Protección de datos personales si el proveedor de servicios tiene los medios de</w:t>
      </w:r>
      <w:r>
        <w:t xml:space="preserve"> </w:t>
      </w:r>
      <w:r>
        <w:t xml:space="preserve">Identificar;</w:t>
      </w:r>
    </w:p>
    <w:p>
      <w:pPr>
        <w:numPr>
          <w:ilvl w:val="0"/>
          <w:numId w:val="1030"/>
        </w:numPr>
      </w:pPr>
      <w:r>
        <w:t xml:space="preserve">Una garantía de seguridad de los datos procesados ​​(debido a la</w:t>
      </w:r>
      <w:r>
        <w:t xml:space="preserve"> </w:t>
      </w:r>
      <w:r>
        <w:t xml:space="preserve">Calificación SecnumCloud).</w:t>
      </w:r>
    </w:p>
    <w:bookmarkEnd w:id="78"/>
    <w:bookmarkStart w:id="79" w:name="X484da84f6afdbecfcff2fd70ecbd77775c82183"/>
    <w:p>
      <w:pPr>
        <w:pStyle w:val="Heading2"/>
      </w:pPr>
      <w:r>
        <w:t xml:space="preserve">13.4.Protección con respecto a la ley extraeuropea</w:t>
      </w:r>
    </w:p>
    <w:p>
      <w:pPr>
        <w:pStyle w:val="FirstParagraph"/>
      </w:pPr>
      <w:r>
        <w:t xml:space="preserve">El asiento estatuario del proveedor de servicios se establece dentro de un estado miembro</w:t>
      </w:r>
      <w:r>
        <w:t xml:space="preserve"> </w:t>
      </w:r>
      <w:r>
        <w:t xml:space="preserve">de la Unión Europea.Capital social y derechos de voto en el</w:t>
      </w:r>
      <w:r>
        <w:t xml:space="preserve"> </w:t>
      </w:r>
      <w:r>
        <w:t xml:space="preserve">El proveedor de servicios no es, directa o indirectamente:</w:t>
      </w:r>
    </w:p>
    <w:p>
      <w:pPr>
        <w:numPr>
          <w:ilvl w:val="0"/>
          <w:numId w:val="1031"/>
        </w:numPr>
      </w:pPr>
      <w:r>
        <w:t xml:space="preserve">Se mantuvo individualmente más del 24%;</w:t>
      </w:r>
    </w:p>
    <w:p>
      <w:pPr>
        <w:numPr>
          <w:ilvl w:val="0"/>
          <w:numId w:val="1031"/>
        </w:numPr>
      </w:pPr>
      <w:r>
        <w:t xml:space="preserve">y colectivamente mantuvo más del 39%;</w:t>
      </w:r>
    </w:p>
    <w:p>
      <w:pPr>
        <w:pStyle w:val="FirstParagraph"/>
      </w:pPr>
      <w:r>
        <w:t xml:space="preserve">por tercera entidad parcial con su sede legal, administración</w:t>
      </w:r>
      <w:r>
        <w:t xml:space="preserve"> </w:t>
      </w:r>
      <w:r>
        <w:t xml:space="preserve">establecimiento central o principal dentro de un no miembro de</w:t>
      </w:r>
      <w:r>
        <w:t xml:space="preserve"> </w:t>
      </w:r>
      <w:r>
        <w:t xml:space="preserve">La Unión Europea.</w:t>
      </w:r>
    </w:p>
    <w:p>
      <w:pPr>
        <w:pStyle w:val="BodyText"/>
      </w:pPr>
      <w:r>
        <w:t xml:space="preserve">En caso de apelación del proveedor de servicios, como parte del servicio,</w:t>
      </w:r>
      <w:r>
        <w:t xml:space="preserve"> </w:t>
      </w:r>
      <w:r>
        <w:t xml:space="preserve">una tercera empresa de partidos, incluido un subcontratista, que tiene</w:t>
      </w:r>
      <w:r>
        <w:t xml:space="preserve"> </w:t>
      </w:r>
      <w:r>
        <w:t xml:space="preserve">su sede legal, administración central o establecimiento principal</w:t>
      </w:r>
      <w:r>
        <w:t xml:space="preserve"> </w:t>
      </w:r>
      <w:r>
        <w:t xml:space="preserve">dentro de un estado no miembro de la Unión Europea o pertenencia o</w:t>
      </w:r>
      <w:r>
        <w:t xml:space="preserve"> </w:t>
      </w:r>
      <w:r>
        <w:t xml:space="preserve">Estar controlada por una tercera empresa parcial domiciliada fuera de la Unión</w:t>
      </w:r>
      <w:r>
        <w:t xml:space="preserve"> </w:t>
      </w:r>
      <w:r>
        <w:t xml:space="preserve">Europeo, el proveedor está cometido:</w:t>
      </w:r>
    </w:p>
    <w:p>
      <w:pPr>
        <w:numPr>
          <w:ilvl w:val="0"/>
          <w:numId w:val="1032"/>
        </w:numPr>
      </w:pPr>
      <w:r>
        <w:t xml:space="preserve">Que esta tercera compañía mencionada por encima de no tendrá acceso a</w:t>
      </w:r>
      <w:r>
        <w:t xml:space="preserve"> </w:t>
      </w:r>
      <w:r>
        <w:t xml:space="preserve">datos operados por el servicio  ’Temple seguro ';</w:t>
      </w:r>
    </w:p>
    <w:p>
      <w:pPr>
        <w:numPr>
          <w:ilvl w:val="0"/>
          <w:numId w:val="1032"/>
        </w:numPr>
      </w:pPr>
      <w:r>
        <w:t xml:space="preserve">tener una autonomía de explotación a través de la posibilidad</w:t>
      </w:r>
      <w:r>
        <w:t xml:space="preserve"> </w:t>
      </w:r>
      <w:r>
        <w:t xml:space="preserve">de faire appel à un autre sous-traitant ou de mettre rapidement en</w:t>
      </w:r>
      <w:r>
        <w:t xml:space="preserve"> </w:t>
      </w:r>
      <w:r>
        <w:t xml:space="preserve">oeuvre une alternative technologique.</w:t>
      </w:r>
    </w:p>
    <w:p>
      <w:pPr>
        <w:pStyle w:val="FirstParagraph"/>
      </w:pPr>
      <w:r>
        <w:t xml:space="preserve">Pour rappel, les données visées sont celles qui sont confiées au</w:t>
      </w:r>
      <w:r>
        <w:t xml:space="preserve"> </w:t>
      </w:r>
      <w:r>
        <w:t xml:space="preserve">Prestataire par le COMMANDITAIRE ainsi que toutes Données techniques</w:t>
      </w:r>
      <w:r>
        <w:t xml:space="preserve"> </w:t>
      </w:r>
      <w:r>
        <w:t xml:space="preserve">comprenant des informations sur les COMMANDITAIRES.</w:t>
      </w:r>
    </w:p>
    <w:p>
      <w:pPr>
        <w:pStyle w:val="BodyText"/>
      </w:pPr>
      <w:r>
        <w:t xml:space="preserve">Pour les besoins du présent article, la notion de contrôle est entendue</w:t>
      </w:r>
      <w:r>
        <w:t xml:space="preserve"> </w:t>
      </w:r>
      <w:r>
        <w:t xml:space="preserve">comme étant celle mentionnée au II de l’article L233-3 du code de</w:t>
      </w:r>
      <w:r>
        <w:t xml:space="preserve"> </w:t>
      </w:r>
      <w:r>
        <w:t xml:space="preserve">commerce.</w:t>
      </w:r>
    </w:p>
    <w:bookmarkEnd w:id="79"/>
    <w:bookmarkEnd w:id="80"/>
    <w:bookmarkStart w:id="81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Hecho en  _  _  _  _ _ _  _ _  _  _ _   _ _ _ _  _ _ _</w:t>
      </w:r>
      <w:r>
        <w:t xml:space="preserve"> </w:t>
      </w:r>
      <w:r>
        <w:rPr>
          <w:i/>
          <w:iCs/>
        </w:rPr>
        <w:t xml:space="preserve">, el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  _ _ _ _ _ _ _</w:t>
      </w:r>
    </w:p>
    <w:p>
      <w:pPr>
        <w:pStyle w:val="BodyText"/>
      </w:pPr>
      <w:r>
        <w:t xml:space="preserve">Para el templo de la nube, el proveedor de servicios</w:t>
      </w:r>
    </w:p>
    <w:p>
      <w:pPr>
        <w:pStyle w:val="BodyText"/>
      </w:pPr>
      <w:r>
        <w:t xml:space="preserve">Para  _  _  _ _ _ _  _  _ _ _ _  _ _ _ _ _ _ _ _ _ _ _ _ _ _ _ _ _ _  _, SPONSOR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2025-03-19T15:48:34Z</dcterms:created>
  <dcterms:modified xsi:type="dcterms:W3CDTF">2025-03-19T15:48:34Z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