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** Tabla de contenido **</w:t>
      </w:r>
    </w:p>
    <w:p>
      <w:pPr>
        <w:pStyle w:val="Compact"/>
        <w:numPr>
          <w:ilvl w:val="0"/>
          <w:numId w:val="1001"/>
        </w:numPr>
      </w:pPr>
      <w:r>
        <w:t xml:space="preserve">[1.Marco] (#x09AF6387E1D2792B8EDC09FC15ABD136A837DB5)</w:t>
      </w:r>
    </w:p>
    <w:p>
      <w:pPr>
        <w:pStyle w:val="Compact"/>
        <w:numPr>
          <w:ilvl w:val="0"/>
          <w:numId w:val="1001"/>
        </w:numPr>
      </w:pPr>
      <w:r>
        <w:t xml:space="preserve">[2.Acrónimos] (#XC79D173393C04B42BA8CDF223CCA3C0202F4DEE)</w:t>
      </w:r>
    </w:p>
    <w:p>
      <w:pPr>
        <w:pStyle w:val="Compact"/>
        <w:numPr>
          <w:ilvl w:val="0"/>
          <w:numId w:val="1001"/>
        </w:numPr>
      </w:pPr>
      <w:r>
        <w:t xml:space="preserve">[3.Glosario] (#x0C9D1D82FDC5FCC3D01A320DD2DD3715A6900B4)</w:t>
      </w:r>
    </w:p>
    <w:p>
      <w:pPr>
        <w:pStyle w:val="Compact"/>
        <w:numPr>
          <w:ilvl w:val="0"/>
          <w:numId w:val="1001"/>
        </w:numPr>
      </w:pPr>
      <w:r>
        <w:t xml:space="preserve">[4.Objeto del acuerdo de servicio PAAS de</w:t>
      </w:r>
      <w:r>
        <w:t xml:space="preserve"> </w:t>
      </w:r>
      <w:r>
        <w:t xml:space="preserve">Proveedor] (#x23C3C3767539F9E69CC7CBF5AF8AA8C1B6AD7)</w:t>
      </w:r>
    </w:p>
    <w:p>
      <w:pPr>
        <w:pStyle w:val="Compact"/>
        <w:numPr>
          <w:ilvl w:val="0"/>
          <w:numId w:val="1001"/>
        </w:numPr>
      </w:pPr>
      <w:r>
        <w:t xml:space="preserve">[5.Evolución del acuerdo de servicio</w:t>
      </w:r>
      <w:r>
        <w:t xml:space="preserve"> </w:t>
      </w:r>
      <w:r>
        <w:t xml:space="preserve">Paas] (#xa7161677dcf9a35d02c20807040326b39d55881)</w:t>
      </w:r>
    </w:p>
    <w:p>
      <w:pPr>
        <w:pStyle w:val="Compact"/>
        <w:numPr>
          <w:ilvl w:val="0"/>
          <w:numId w:val="1001"/>
        </w:numPr>
      </w:pPr>
      <w:r>
        <w:t xml:space="preserve">[6.Auditoría] (#x910E2801262DE94AF71544B8FB509CC70CC79A)</w:t>
      </w:r>
    </w:p>
    <w:p>
      <w:pPr>
        <w:pStyle w:val="Compact"/>
        <w:numPr>
          <w:ilvl w:val="0"/>
          <w:numId w:val="1001"/>
        </w:numPr>
      </w:pPr>
      <w:r>
        <w:t xml:space="preserve">[7.Descripción del servicio] (#x3D12A6C93683F0122F5F9A8E21E7C12FC92490B)</w:t>
      </w:r>
    </w:p>
    <w:p>
      <w:pPr>
        <w:pStyle w:val="Compact"/>
        <w:numPr>
          <w:ilvl w:val="0"/>
          <w:numId w:val="1001"/>
        </w:numPr>
      </w:pPr>
      <w:r>
        <w:t xml:space="preserve">[8.Implementación de</w:t>
      </w:r>
      <w:r>
        <w:t xml:space="preserve"> </w:t>
      </w:r>
      <w:r>
        <w:t xml:space="preserve">Servicio] (#xc98fb6da582d483e300add6a80df6e3eb76498a)</w:t>
      </w:r>
    </w:p>
    <w:p>
      <w:pPr>
        <w:pStyle w:val="Compact"/>
        <w:numPr>
          <w:ilvl w:val="0"/>
          <w:numId w:val="1001"/>
        </w:numPr>
      </w:pPr>
      <w:r>
        <w:t xml:space="preserve">[8.1.Descripción de los componentes</w:t>
      </w:r>
      <w:r>
        <w:t xml:space="preserve"> </w:t>
      </w:r>
      <w:r>
        <w:t xml:space="preserve">Técnicas] (#xa61c340e3fdf14082cef411d3a913fc4bdeeb4c)</w:t>
      </w:r>
    </w:p>
    <w:p>
      <w:pPr>
        <w:pStyle w:val="Compact"/>
        <w:numPr>
          <w:ilvl w:val="0"/>
          <w:numId w:val="1001"/>
        </w:numPr>
      </w:pPr>
      <w:r>
        <w:t xml:space="preserve">[8.1.1.Plataforma de servicio Redhat</w:t>
      </w:r>
      <w:r>
        <w:t xml:space="preserve"> </w:t>
      </w:r>
      <w:r>
        <w:t xml:space="preserve">OpenShift] (#XF81D22ED0ABCA8EAB163C160107FA228901D82C)</w:t>
      </w:r>
    </w:p>
    <w:p>
      <w:pPr>
        <w:pStyle w:val="Compact"/>
        <w:numPr>
          <w:ilvl w:val="0"/>
          <w:numId w:val="1001"/>
        </w:numPr>
      </w:pPr>
      <w:r>
        <w:t xml:space="preserve">[8.1.2.Infraestructura de software de piloto de plataforma</w:t>
      </w:r>
      <w:r>
        <w:t xml:space="preserve"> </w:t>
      </w:r>
      <w:r>
        <w:t xml:space="preserve">Redhat Openshift] (#XF11C2E6A431AE11852FE3129245B4D0FD0747B)</w:t>
      </w:r>
    </w:p>
    <w:p>
      <w:pPr>
        <w:pStyle w:val="Compact"/>
        <w:numPr>
          <w:ilvl w:val="0"/>
          <w:numId w:val="1001"/>
        </w:numPr>
      </w:pPr>
      <w:r>
        <w:t xml:space="preserve">[8.1.3.Infraestructura de respaldo</w:t>
      </w:r>
      <w:r>
        <w:t xml:space="preserve"> </w:t>
      </w:r>
      <w:r>
        <w:t xml:space="preserve">Asociado] (#x77B1112FA2C2A53EB0CF09B416962164B77B437)</w:t>
      </w:r>
    </w:p>
    <w:p>
      <w:pPr>
        <w:pStyle w:val="Compact"/>
        <w:numPr>
          <w:ilvl w:val="0"/>
          <w:numId w:val="1001"/>
        </w:numPr>
      </w:pPr>
      <w:r>
        <w:t xml:space="preserve">[8.1.4.Implementación de actividad o actividad o</w:t>
      </w:r>
      <w:r>
        <w:t xml:space="preserve"> </w:t>
      </w:r>
      <w:r>
        <w:t xml:space="preserve">Continuidad de la actividad] (#xae1394210f1c9bee4293a93160d2d1cc70ebdd)</w:t>
      </w:r>
    </w:p>
    <w:p>
      <w:pPr>
        <w:pStyle w:val="Compact"/>
        <w:numPr>
          <w:ilvl w:val="0"/>
          <w:numId w:val="1001"/>
        </w:numPr>
      </w:pPr>
      <w:r>
        <w:t xml:space="preserve">[9.Compromisos y niveles de</w:t>
      </w:r>
      <w:r>
        <w:t xml:space="preserve"> </w:t>
      </w:r>
      <w:r>
        <w:t xml:space="preserve">Servicios] (#XAD2B4AE071A52A99B502C4E84CBBA3F15AC78F8)</w:t>
      </w:r>
    </w:p>
    <w:p>
      <w:pPr>
        <w:pStyle w:val="Compact"/>
        <w:numPr>
          <w:ilvl w:val="0"/>
          <w:numId w:val="1001"/>
        </w:numPr>
      </w:pPr>
      <w:r>
        <w:t xml:space="preserve">[9.1.Compromisos de disponibilidad de plataforma redhat</w:t>
      </w:r>
      <w:r>
        <w:t xml:space="preserve"> </w:t>
      </w:r>
      <w:r>
        <w:t xml:space="preserve">OpenShift] (#x233341276df81e9f6fa2000ac84216560e59fa)</w:t>
      </w:r>
    </w:p>
    <w:p>
      <w:pPr>
        <w:pStyle w:val="Compact"/>
        <w:numPr>
          <w:ilvl w:val="0"/>
          <w:numId w:val="1001"/>
        </w:numPr>
      </w:pPr>
      <w:r>
        <w:t xml:space="preserve">[10.Modelo de responsabilidad compartido</w:t>
      </w:r>
      <w:r>
        <w:t xml:space="preserve"> </w:t>
      </w:r>
      <w:r>
        <w:t xml:space="preserve">Aplicable] (#xa90d4e180ca2ae1d92e4e4cf00f20aca5061eac)</w:t>
      </w:r>
    </w:p>
    <w:p>
      <w:pPr>
        <w:pStyle w:val="Compact"/>
        <w:numPr>
          <w:ilvl w:val="0"/>
          <w:numId w:val="1001"/>
        </w:numPr>
      </w:pPr>
      <w:r>
        <w:t xml:space="preserve">[10.1.Responsabilidad y obligaciones de</w:t>
      </w:r>
      <w:r>
        <w:t xml:space="preserve"> </w:t>
      </w:r>
      <w:r>
        <w:t xml:space="preserve">Proveedor] (#xe5cf73850ea2189ab60f41560bf52e97d3019f9)</w:t>
      </w:r>
    </w:p>
    <w:p>
      <w:pPr>
        <w:pStyle w:val="Compact"/>
        <w:numPr>
          <w:ilvl w:val="0"/>
          <w:numId w:val="1001"/>
        </w:numPr>
      </w:pPr>
      <w:r>
        <w:t xml:space="preserve">[10.2.Limitación de responsabilidad por</w:t>
      </w:r>
      <w:r>
        <w:t xml:space="preserve"> </w:t>
      </w:r>
      <w:r>
        <w:t xml:space="preserve">Proveedor] (#x8856C8F60613011694398b244484722823c023c)</w:t>
      </w:r>
    </w:p>
    <w:p>
      <w:pPr>
        <w:pStyle w:val="Compact"/>
        <w:numPr>
          <w:ilvl w:val="0"/>
          <w:numId w:val="1001"/>
        </w:numPr>
      </w:pPr>
      <w:r>
        <w:t xml:space="preserve">[10.3.Limitación</w:t>
      </w:r>
      <w:r>
        <w:t xml:space="preserve"> </w:t>
      </w:r>
      <w:r>
        <w:t xml:space="preserve">Acceso] (#x902763258f1242326933ce46892d3f549e73e30)</w:t>
      </w:r>
    </w:p>
    <w:p>
      <w:pPr>
        <w:pStyle w:val="Compact"/>
        <w:numPr>
          <w:ilvl w:val="0"/>
          <w:numId w:val="1001"/>
        </w:numPr>
      </w:pPr>
      <w:r>
        <w:t xml:space="preserve">[11.Borrado de datos al final de</w:t>
      </w:r>
      <w:r>
        <w:t xml:space="preserve"> </w:t>
      </w:r>
      <w:r>
        <w:t xml:space="preserve">Contrato] (#XBE642A80027CE4AD8888C932E98B8661C2A0D3A6)</w:t>
      </w:r>
    </w:p>
    <w:p>
      <w:pPr>
        <w:pStyle w:val="Compact"/>
        <w:numPr>
          <w:ilvl w:val="0"/>
          <w:numId w:val="1001"/>
        </w:numPr>
      </w:pPr>
      <w:r>
        <w:t xml:space="preserve">[12.Ley aplicable] (#xa219184d62eb90dfeec612801fd05c5d816c331)</w:t>
      </w:r>
    </w:p>
    <w:bookmarkStart w:id="20" w:name="marco"/>
    <w:p>
      <w:pPr>
        <w:pStyle w:val="Heading2"/>
      </w:pPr>
      <w:r>
        <w:t xml:space="preserve">1. Marco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Referencia ct.am.jur.anx.paas 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del 21 de enero de 2025</w:t>
            </w:r>
          </w:p>
        </w:tc>
      </w:tr>
    </w:tbl>
    <w:bookmarkEnd w:id="20"/>
    <w:bookmarkStart w:id="21" w:name="acrónimos"/>
    <w:p>
      <w:pPr>
        <w:pStyle w:val="Heading2"/>
      </w:pPr>
      <w:r>
        <w:t xml:space="preserve">2. Acrónimos</w:t>
      </w:r>
    </w:p>
    <w:tbl>
      <w:tblPr>
        <w:tblStyle w:val="Table"/>
        <w:tblW w:type="pct" w:w="4722"/>
        <w:tblLayout w:type="fixed"/>
        <w:tblLook w:firstRow="1" w:lastRow="0" w:firstColumn="0" w:lastColumn="0" w:noHBand="0" w:noVBand="0" w:val="0020"/>
      </w:tblPr>
      <w:tblGrid>
        <w:gridCol w:w="74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Descripción del acrónimo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Junta Asesora de Cambio de CAB - Comité Asesor de Cambios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 de datos de administración de configuración de CMDB - Base de datos de administración</w:t>
            </w:r>
            <w:r>
              <w:t xml:space="preserve"> </w:t>
            </w:r>
            <w:r>
              <w:t xml:space="preserve">configuraciones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directivo de copil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estratégico de costrat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 de datos DB (base de datos)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 de recuperación de desastres DRP (Plan de recuperación de actividades)</w:t>
            </w:r>
            <w:r>
              <w:t xml:space="preserve"> </w:t>
            </w:r>
            <w:r>
              <w:t xml:space="preserve">Garantía de tiempo de intervención GTI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Garantía de tiempo de resolución GTR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GTE GARANTE DE TIEMPO HIGHT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Hypervisor del sistema operativo que permite la ejecución de VM en un</w:t>
            </w:r>
            <w:r>
              <w:t xml:space="preserve"> </w:t>
            </w:r>
            <w:r>
              <w:t xml:space="preserve">cuchilla de cálculo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Biblioteca de infraestructura de tecnología de la información de ITIL - buenas prácticas</w:t>
            </w:r>
            <w:r>
              <w:t xml:space="preserve"> </w:t>
            </w:r>
            <w:r>
              <w:t xml:space="preserve">Para la gestión de sistemas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Infraestructura IaaS como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Mantenimiento de MCO en condiciones operativas</w:t>
            </w:r>
            <w:r>
              <w:t xml:space="preserve"> </w:t>
            </w:r>
            <w:r>
              <w:t xml:space="preserve">Gestión de proyectos de MOA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proyectos de MOE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 operativo del sistema operativo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 de seguro de calidad de PAQ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Plataforma PaaS como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de gerente de entrega de SDM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Solicitud de cambio RFC: solicitud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Regulaciones de datos de Protección de Datos General de GDPR (personal)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Punto objetivo de recuperación de RPO: frescura de los datos restaurados en</w:t>
            </w:r>
            <w:r>
              <w:t xml:space="preserve"> </w:t>
            </w:r>
            <w:r>
              <w:t xml:space="preserve">caso de desastre</w:t>
            </w:r>
            <w:r>
              <w:t xml:space="preserve"> </w:t>
            </w:r>
            <w:r>
              <w:t xml:space="preserve">Objetivo de tiempo de recuperación de RTT: fecha límite para la reincorporación del servicio</w:t>
            </w:r>
            <w:r>
              <w:t xml:space="preserve"> </w:t>
            </w:r>
            <w:r>
              <w:t xml:space="preserve">caso de desastre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Acuerdo de nivel de servicio de SLA - Acuerdo de nivel de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UO Unidad de trabajo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Validación de VABF de aptitud para un funcionamiento adecuado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Validación de vabia de aptitud para una buena explotabilidad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VM Virtual Machine (máquina virtual)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Validación de VSR del servicio regular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SNC Secnumcloud</w:t>
            </w:r>
          </w:p>
        </w:tc>
      </w:tr>
    </w:tbl>
    <w:bookmarkEnd w:id="21"/>
    <w:bookmarkStart w:id="22" w:name="glosario"/>
    <w:p>
      <w:pPr>
        <w:pStyle w:val="Heading2"/>
      </w:pPr>
      <w:r>
        <w:t xml:space="preserve">3. Glosario</w:t>
      </w:r>
    </w:p>
    <w:p>
      <w:pPr>
        <w:pStyle w:val="FirstParagraph"/>
      </w:pPr>
      <w:r>
        <w:t xml:space="preserve">Las siguientes expresiones utilizadas en este documento serán</w:t>
      </w:r>
      <w:r>
        <w:t xml:space="preserve"> </w:t>
      </w:r>
      <w:r>
        <w:t xml:space="preserve">interpretado de acuerdo con las definiciones asignadas a ellos</w:t>
      </w:r>
      <w:r>
        <w:t xml:space="preserve"> </w:t>
      </w:r>
      <w:r>
        <w:t xml:space="preserve">abajo 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Definición de expresión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"Secure Temple" Désigne le service IaaS qualifié SecNumCloud, proposé par</w:t>
            </w:r>
            <w:r>
              <w:t xml:space="preserve"> </w:t>
            </w:r>
            <w:r>
              <w:t xml:space="preserve">la société Cloud Temple, tel que défini dans l’attestation</w:t>
            </w:r>
            <w:r>
              <w:t xml:space="preserve"> </w:t>
            </w:r>
            <w:r>
              <w:t xml:space="preserve">consultable sur le site de l’ANSSI et fournie en annexe de</w:t>
            </w:r>
            <w:r>
              <w:t xml:space="preserve"> </w:t>
            </w:r>
            <w:r>
              <w:t xml:space="preserve">la présente Convention de service.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Région Une "région" dans le contexte du cloud computing désigne</w:t>
            </w:r>
            <w:r>
              <w:t xml:space="preserve"> </w:t>
            </w:r>
            <w:r>
              <w:t xml:space="preserve">un conjunto de zonas geográficamente delimitado de</w:t>
            </w:r>
            <w:r>
              <w:t xml:space="preserve"> </w:t>
            </w:r>
            <w:r>
              <w:t xml:space="preserve">Disponibilidad en la nube, proporcionar servicios de red,</w:t>
            </w:r>
            <w:r>
              <w:t xml:space="preserve"> </w:t>
            </w:r>
            <w:r>
              <w:t xml:space="preserve">cálculo y almacenamiento para optimizar la latencia,</w:t>
            </w:r>
            <w:r>
              <w:t xml:space="preserve"> </w:t>
            </w:r>
            <w:r>
              <w:t xml:space="preserve">desempeño local y cumplimiento regulatorio.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Zona una sección específica y aislada de la infraestructura de</w:t>
            </w:r>
            <w:r>
              <w:t xml:space="preserve"> </w:t>
            </w:r>
            <w:r>
              <w:t xml:space="preserve">Disponibilité(AZ)(Availability cloud computing, conçue pour assurer la haute disponibilité</w:t>
            </w:r>
            <w:r>
              <w:t xml:space="preserve"> </w:t>
            </w:r>
            <w:r>
              <w:t xml:space="preserve">zone) et la résilience des services par une distribution</w:t>
            </w:r>
            <w:r>
              <w:t xml:space="preserve"> </w:t>
            </w:r>
            <w:r>
              <w:t xml:space="preserve">géographique des ressources.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Tenant Une instance isolée réservée à un utilisateur ou groupe</w:t>
            </w:r>
            <w:r>
              <w:t xml:space="preserve"> </w:t>
            </w:r>
            <w:r>
              <w:t xml:space="preserve">d'utilisateurs, partageant une infrastructure commune tout</w:t>
            </w:r>
            <w:r>
              <w:t xml:space="preserve"> </w:t>
            </w:r>
            <w:r>
              <w:t xml:space="preserve">manteniendo la independencia y la seguridad de los datos y</w:t>
            </w:r>
            <w:r>
              <w:t xml:space="preserve"> </w:t>
            </w:r>
            <w:r>
              <w:t xml:space="preserve">aplicaciones.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Definición de expresión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Incidente un  “incidente " designa cualquier evento imprevisto que</w:t>
            </w:r>
            <w:r>
              <w:t xml:space="preserve"> </w:t>
            </w:r>
            <w:r>
              <w:t xml:space="preserve">interrumpe el funcionamiento normal de un sistema o</w:t>
            </w:r>
            <w:r>
              <w:t xml:space="preserve"> </w:t>
            </w:r>
            <w:r>
              <w:t xml:space="preserve">compromete la seguridad de los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Problema A  “Problema " es una causa fundamental de uno o</w:t>
            </w:r>
            <w:r>
              <w:t xml:space="preserve"> </w:t>
            </w:r>
            <w:r>
              <w:t xml:space="preserve">varios incidentes, identificados o sospechosos, que requieren</w:t>
            </w:r>
            <w:r>
              <w:t xml:space="preserve"> </w:t>
            </w:r>
            <w:r>
              <w:t xml:space="preserve">Un análisis y resolución para evitar su recurrencia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Cambiar un  “cambio " significa cualquier adición, una modificación o</w:t>
            </w:r>
            <w:r>
              <w:t xml:space="preserve"> </w:t>
            </w:r>
            <w:r>
              <w:t xml:space="preserve">eliminación de la eliminación del servicio, habiendo sido autorizado,</w:t>
            </w:r>
            <w:r>
              <w:t xml:space="preserve"> </w:t>
            </w:r>
            <w:r>
              <w:t xml:space="preserve">planeado o apoyado.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Cambiar un  “cambio estándar " es una realización de cambios</w:t>
            </w:r>
            <w:r>
              <w:t xml:space="preserve"> </w:t>
            </w:r>
            <w:r>
              <w:t xml:space="preserve">Estándar, el tema de un procedimiento, incluidos los términos de implementación</w:t>
            </w:r>
            <w:r>
              <w:t xml:space="preserve"> </w:t>
            </w:r>
            <w:r>
              <w:t xml:space="preserve">La producción y los impactos (incluidos los financieros) son</w:t>
            </w:r>
            <w:r>
              <w:t xml:space="preserve"> </w:t>
            </w:r>
            <w:r>
              <w:t xml:space="preserve">conocido y aceptado por adelantado por las partes.Él es</w:t>
            </w:r>
            <w:r>
              <w:t xml:space="preserve"> </w:t>
            </w:r>
            <w:r>
              <w:t xml:space="preserve">luego integrado en el catálogo de cambios estándar, y</w:t>
            </w:r>
            <w:r>
              <w:t xml:space="preserve"> </w:t>
            </w:r>
            <w:r>
              <w:t xml:space="preserve">Dependiendo del caso, tenga un GTI y un GTR.</w:t>
            </w:r>
            <w:r>
              <w:t xml:space="preserve"> </w:t>
            </w:r>
            <w:r>
              <w:t xml:space="preserve">Acción (s) de la realización del cambio</w:t>
            </w:r>
            <w:r>
              <w:t xml:space="preserve"> </w:t>
            </w:r>
            <w:r>
              <w:t xml:space="preserve">producción cuando se aprueba (el cambio, en el sentido de ITIL,</w:t>
            </w:r>
            <w:r>
              <w:t xml:space="preserve"> </w:t>
            </w:r>
            <w:r>
              <w:t xml:space="preserve">solo con respecto a la gestión del cambio y no en su</w:t>
            </w:r>
            <w:r>
              <w:t xml:space="preserve"> </w:t>
            </w:r>
            <w:r>
              <w:t xml:space="preserve">Realización/concretización).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Solicitud de una solicitud de desarrollo sujeta a un procedimiento, de la cual</w:t>
            </w:r>
            <w:r>
              <w:t xml:space="preserve"> </w:t>
            </w:r>
            <w:r>
              <w:t xml:space="preserve">Realización del servicio: i) no modifica el CMDB, ii) el modo</w:t>
            </w:r>
            <w:r>
              <w:t xml:space="preserve"> </w:t>
            </w:r>
            <w:r>
              <w:t xml:space="preserve">operativo, costos y riesgos son conocidos y</w:t>
            </w:r>
            <w:r>
              <w:t xml:space="preserve"> </w:t>
            </w:r>
            <w:r>
              <w:t xml:space="preserve">aceptado de antemano y no requiere</w:t>
            </w:r>
            <w:r>
              <w:t xml:space="preserve"> </w:t>
            </w:r>
            <w:r>
              <w:t xml:space="preserve">retorno trasero específico iii) la realización es</w:t>
            </w:r>
            <w:r>
              <w:t xml:space="preserve"> </w:t>
            </w:r>
            <w:r>
              <w:t xml:space="preserve">Sujeto a un acuerdo de nivel de servicio e incluido en</w:t>
            </w:r>
            <w:r>
              <w:t xml:space="preserve"> </w:t>
            </w:r>
            <w:r>
              <w:t xml:space="preserve">la tarifa del contrato cuando se lleva a cabo en</w:t>
            </w:r>
            <w:r>
              <w:t xml:space="preserve"> </w:t>
            </w:r>
            <w:r>
              <w:t xml:space="preserve">horas de trabajo y días hábiles.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elemento de un  “elemento de configuración " es un componente</w:t>
            </w:r>
            <w:r>
              <w:t xml:space="preserve"> </w:t>
            </w:r>
            <w:r>
              <w:t xml:space="preserve">configuración identificable del sistema de información, como un</w:t>
            </w:r>
            <w:r>
              <w:t xml:space="preserve"> </w:t>
            </w:r>
            <w:r>
              <w:t xml:space="preserve">logiciel, un matériel ou un document, sujet à gestion</w:t>
            </w:r>
            <w:r>
              <w:t xml:space="preserve"> </w:t>
            </w:r>
            <w:r>
              <w:t xml:space="preserve">dans le cadre de la gestion des services 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Service Un "service" désigne le service qualifié SecNumCloud,</w:t>
            </w:r>
            <w:r>
              <w:t xml:space="preserve"> </w:t>
            </w:r>
            <w:r>
              <w:t xml:space="preserve">délivré au COMMANDITAIRE par le Prestataire, tel que</w:t>
            </w:r>
            <w:r>
              <w:t xml:space="preserve"> </w:t>
            </w:r>
            <w:r>
              <w:t xml:space="preserve">décrit dans la section « Description du Service » de la</w:t>
            </w:r>
            <w:r>
              <w:t xml:space="preserve"> </w:t>
            </w:r>
            <w:r>
              <w:t xml:space="preserve">présente Convention de service.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Evenement Un "événement" est toute occurrence détectable ou</w:t>
            </w:r>
            <w:r>
              <w:t xml:space="preserve"> </w:t>
            </w:r>
            <w:r>
              <w:t xml:space="preserve">identificable que puede tener una gestión importante</w:t>
            </w:r>
            <w:r>
              <w:t xml:space="preserve"> </w:t>
            </w:r>
            <w:r>
              <w:t xml:space="preserve">servicio.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Sinister un</w:t>
            </w:r>
            <w:r>
              <w:t xml:space="preserve"> </w:t>
            </w:r>
            <w:r>
              <w:t xml:space="preserve">“desastre”</w:t>
            </w:r>
            <w:r>
              <w:t xml:space="preserve"> </w:t>
            </w:r>
            <w:r>
              <w:t xml:space="preserve">designa un evento serio de origen</w:t>
            </w:r>
            <w:r>
              <w:t xml:space="preserve"> </w:t>
            </w:r>
            <w:r>
              <w:t xml:space="preserve">natural o humano, accidental o intencional,</w:t>
            </w:r>
            <w:r>
              <w:t xml:space="preserve"> </w:t>
            </w:r>
            <w:r>
              <w:t xml:space="preserve">causando pérdidas y daños significativos al</w:t>
            </w:r>
            <w:r>
              <w:t xml:space="preserve"> </w:t>
            </w:r>
            <w:r>
              <w:t xml:space="preserve">Desastre.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Acuerdo de este documento, establecido en el marco de un contrato</w:t>
            </w:r>
            <w:r>
              <w:t xml:space="preserve"> </w:t>
            </w:r>
            <w:r>
              <w:t xml:space="preserve">servicio específico o condiciones generales de venta y</w:t>
            </w:r>
            <w:r>
              <w:t xml:space="preserve"> </w:t>
            </w:r>
            <w:r>
              <w:t xml:space="preserve">de uso (CGVU), de acuerdo con</w:t>
            </w:r>
            <w:r>
              <w:t xml:space="preserve"> </w:t>
            </w:r>
            <w:r>
              <w:t xml:space="preserve">Requisitos del SecnumCloud Sep.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Capacidad de disponibilidad para garantizar la disponibilidad y mantenimiento de</w:t>
            </w:r>
            <w:r>
              <w:t xml:space="preserve"> </w:t>
            </w:r>
            <w:r>
              <w:t xml:space="preserve">rendimiento óptimo de un servicio, de acuerdo con</w:t>
            </w:r>
            <w:r>
              <w:t xml:space="preserve"> </w:t>
            </w:r>
            <w:r>
              <w:t xml:space="preserve">criterios y compromisos definidos en el</w:t>
            </w:r>
            <w:r>
              <w:t xml:space="preserve"> </w:t>
            </w:r>
            <w:r>
              <w:t xml:space="preserve">Nivel de servicio (SLA)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Supervisión de vigilancia de un sistema de información o un</w:t>
            </w:r>
            <w:r>
              <w:t xml:space="preserve"> </w:t>
            </w:r>
            <w:r>
              <w:t xml:space="preserve">Servicio, involucrando la recopilación de varios datos</w:t>
            </w:r>
            <w:r>
              <w:t xml:space="preserve"> </w:t>
            </w:r>
            <w:r>
              <w:t xml:space="preserve">tales como medidas y alarmas.Esta actividad se limita a</w:t>
            </w:r>
            <w:r>
              <w:t xml:space="preserve"> </w:t>
            </w:r>
            <w:r>
              <w:t xml:space="preserve">observación y seguimiento, sin intervenir directamente</w:t>
            </w:r>
            <w:r>
              <w:t xml:space="preserve"> </w:t>
            </w:r>
            <w:r>
              <w:t xml:space="preserve">En los elementos monitoreados, una prerrogativa que</w:t>
            </w:r>
            <w:r>
              <w:t xml:space="preserve"> </w:t>
            </w:r>
            <w:r>
              <w:t xml:space="preserve">pertenece a las operaciones de administración.</w:t>
            </w:r>
          </w:p>
        </w:tc>
      </w:tr>
    </w:tbl>
    <w:bookmarkEnd w:id="22"/>
    <w:bookmarkStart w:id="23" w:name="Xc53f207da9cd894043ad88ab5776ef92601403e"/>
    <w:p>
      <w:pPr>
        <w:pStyle w:val="Heading2"/>
      </w:pPr>
      <w:r>
        <w:t xml:space="preserve">4. Sujeto del acuerdo de servicio PAAS del proveedor</w:t>
      </w:r>
    </w:p>
    <w:p>
      <w:pPr>
        <w:pStyle w:val="FirstParagraph"/>
      </w:pPr>
      <w:r>
        <w:t xml:space="preserve">Este acuerdo de servicio establece los términos y condiciones</w:t>
      </w:r>
      <w:r>
        <w:t xml:space="preserve"> </w:t>
      </w:r>
      <w:r>
        <w:t xml:space="preserve">según el cual el proveedor de servicios se compromete a emitir al patrocinador un</w:t>
      </w:r>
      <w:r>
        <w:t xml:space="preserve"> </w:t>
      </w:r>
      <w:r>
        <w:t xml:space="preserve">infraestructura de acuerdo con las especificaciones de la plataforma “como una</w:t>
      </w:r>
      <w:r>
        <w:t xml:space="preserve"> </w:t>
      </w:r>
      <w:r>
        <w:t xml:space="preserve">Servicio - Paas ”, debidamente calificado SecnumCloud.</w:t>
      </w:r>
    </w:p>
    <w:p>
      <w:pPr>
        <w:pStyle w:val="BodyText"/>
      </w:pPr>
      <w:r>
        <w:t xml:space="preserve">Propósito del acuerdo de servicio:</w:t>
      </w:r>
    </w:p>
    <w:p>
      <w:pPr>
        <w:pStyle w:val="Compact"/>
        <w:numPr>
          <w:ilvl w:val="0"/>
          <w:numId w:val="1002"/>
        </w:numPr>
      </w:pPr>
      <w:r>
        <w:t xml:space="preserve">Especifique los requisitos de rendimiento esperados por el patrocinador</w:t>
      </w:r>
      <w:r>
        <w:t xml:space="preserve"> </w:t>
      </w:r>
      <w:r>
        <w:t xml:space="preserve">En términos de funcionalidad y confiabilidad de la infraestructura.</w:t>
      </w:r>
    </w:p>
    <w:p>
      <w:pPr>
        <w:pStyle w:val="Compact"/>
        <w:numPr>
          <w:ilvl w:val="0"/>
          <w:numId w:val="1002"/>
        </w:numPr>
      </w:pPr>
      <w:r>
        <w:t xml:space="preserve">Indique las obligaciones del proveedor para cumplir con el</w:t>
      </w:r>
      <w:r>
        <w:t xml:space="preserve"> </w:t>
      </w:r>
      <w:r>
        <w:t xml:space="preserve">niveles de servicio acordados.</w:t>
      </w:r>
    </w:p>
    <w:p>
      <w:pPr>
        <w:pStyle w:val="Compact"/>
        <w:numPr>
          <w:ilvl w:val="0"/>
          <w:numId w:val="1002"/>
        </w:numPr>
      </w:pPr>
      <w:r>
        <w:t xml:space="preserve">Identificar los estándares regulatorios aplicables específicamente a</w:t>
      </w:r>
      <w:r>
        <w:t xml:space="preserve"> </w:t>
      </w:r>
      <w:r>
        <w:t xml:space="preserve">la infraestructura propuesta.</w:t>
      </w:r>
    </w:p>
    <w:p>
      <w:pPr>
        <w:pStyle w:val="Compact"/>
        <w:numPr>
          <w:ilvl w:val="0"/>
          <w:numId w:val="1002"/>
        </w:numPr>
      </w:pPr>
      <w:r>
        <w:t xml:space="preserve">Asegurar la uniformidad y la integridad en la evaluación de la</w:t>
      </w:r>
      <w:r>
        <w:t xml:space="preserve"> </w:t>
      </w:r>
      <w:r>
        <w:t xml:space="preserve">Calidad de los servicios prestados.</w:t>
      </w:r>
    </w:p>
    <w:p>
      <w:pPr>
        <w:pStyle w:val="Compact"/>
        <w:numPr>
          <w:ilvl w:val="0"/>
          <w:numId w:val="1002"/>
        </w:numPr>
      </w:pPr>
      <w:r>
        <w:t xml:space="preserve">Garantizar la excelencia de los servicios prestados, evaluados por los medios</w:t>
      </w:r>
      <w:r>
        <w:t xml:space="preserve"> </w:t>
      </w:r>
      <w:r>
        <w:t xml:space="preserve">Indicadores de rendimiento cuantitativos.</w:t>
      </w:r>
    </w:p>
    <w:p>
      <w:pPr>
        <w:pStyle w:val="FirstParagraph"/>
      </w:pPr>
      <w:r>
        <w:t xml:space="preserve">Se estipula que, en la hipótesis donde se vería el proveedor</w:t>
      </w:r>
      <w:r>
        <w:t xml:space="preserve"> </w:t>
      </w:r>
      <w:r>
        <w:t xml:space="preserve">Retirar su calificación SecnumCloud, este contrato puede ser</w:t>
      </w:r>
      <w:r>
        <w:t xml:space="preserve"> </w:t>
      </w:r>
      <w:r>
        <w:t xml:space="preserve">terminado automáticamente, sin incurrir en sanciones, por el</w:t>
      </w:r>
      <w:r>
        <w:t xml:space="preserve"> </w:t>
      </w:r>
      <w:r>
        <w:t xml:space="preserve">Patrocinador.En tal posibilidad, el proveedor de servicios participa en</w:t>
      </w:r>
      <w:r>
        <w:t xml:space="preserve"> </w:t>
      </w:r>
      <w:r>
        <w:t xml:space="preserve">informar al patrocinador de esta redalificación enviando un</w:t>
      </w:r>
      <w:r>
        <w:t xml:space="preserve"> </w:t>
      </w:r>
      <w:r>
        <w:t xml:space="preserve">Notificación oficial, mediante una carta registrada con solicitud</w:t>
      </w:r>
      <w:r>
        <w:t xml:space="preserve"> </w:t>
      </w:r>
      <w:r>
        <w:t xml:space="preserve">de recibo.</w:t>
      </w:r>
    </w:p>
    <w:p>
      <w:pPr>
        <w:pStyle w:val="BodyText"/>
      </w:pPr>
      <w:r>
        <w:t xml:space="preserve">Cabe señalar que una modificación o ajuste del</w:t>
      </w:r>
      <w:r>
        <w:t xml:space="preserve"> </w:t>
      </w:r>
      <w:r>
        <w:t xml:space="preserve">calificación SecnumCloud no se interpretará como una revocación de</w:t>
      </w:r>
      <w:r>
        <w:t xml:space="preserve"> </w:t>
      </w:r>
      <w:r>
        <w:t xml:space="preserve">Calificación inicial.</w:t>
      </w:r>
    </w:p>
    <w:bookmarkEnd w:id="23"/>
    <w:bookmarkStart w:id="24" w:name="evolución-del-acuerdo-de-servicio-paas"/>
    <w:p>
      <w:pPr>
        <w:pStyle w:val="Heading2"/>
      </w:pPr>
      <w:r>
        <w:t xml:space="preserve">5. Evolución del acuerdo de servicio PAAS</w:t>
      </w:r>
    </w:p>
    <w:p>
      <w:pPr>
        <w:pStyle w:val="FirstParagraph"/>
      </w:pPr>
      <w:r>
        <w:t xml:space="preserve">Cambios o adiciones a este acuerdo de servicio</w:t>
      </w:r>
      <w:r>
        <w:t xml:space="preserve"> </w:t>
      </w:r>
      <w:r>
        <w:t xml:space="preserve">resultado exclusivamente de las solicitudes formuladas por los órganos de</w:t>
      </w:r>
      <w:r>
        <w:t xml:space="preserve"> </w:t>
      </w:r>
      <w:r>
        <w:t xml:space="preserve">Gobierno designado para este propósito.Estas propuestas de cambio serán</w:t>
      </w:r>
      <w:r>
        <w:t xml:space="preserve"> </w:t>
      </w:r>
      <w:r>
        <w:t xml:space="preserve">examinado dentro del comité estratégico, el único organismo facultado para</w:t>
      </w:r>
      <w:r>
        <w:t xml:space="preserve"> </w:t>
      </w:r>
      <w:r>
        <w:t xml:space="preserve">Determinar los aspectos que requieren formalización escrita.</w:t>
      </w:r>
    </w:p>
    <w:p>
      <w:pPr>
        <w:pStyle w:val="BodyText"/>
      </w:pPr>
      <w:r>
        <w:t xml:space="preserve">Se acuerda que cualquier evolución del acuerdo, después de la validación,</w:t>
      </w:r>
      <w:r>
        <w:t xml:space="preserve"> </w:t>
      </w:r>
      <w:r>
        <w:t xml:space="preserve">que altera las condiciones financieras inicialmente establecidas requerirán</w:t>
      </w:r>
      <w:r>
        <w:t xml:space="preserve"> </w:t>
      </w:r>
      <w:r>
        <w:t xml:space="preserve">el establecimiento y la firma de una enmienda al contrato actual.</w:t>
      </w:r>
    </w:p>
    <w:p>
      <w:pPr>
        <w:pStyle w:val="BodyText"/>
      </w:pPr>
      <w:r>
        <w:t xml:space="preserve">Los factores que pueden inducir una revisión de este acuerdo incluyen,</w:t>
      </w:r>
      <w:r>
        <w:t xml:space="preserve"> </w:t>
      </w:r>
      <w:r>
        <w:t xml:space="preserve">sin limitar:</w:t>
      </w:r>
    </w:p>
    <w:p>
      <w:pPr>
        <w:pStyle w:val="Compact"/>
        <w:numPr>
          <w:ilvl w:val="0"/>
          <w:numId w:val="1003"/>
        </w:numPr>
      </w:pPr>
      <w:r>
        <w:t xml:space="preserve">Adaptación de la plataforma PaaS orquestada por el proveedor.</w:t>
      </w:r>
    </w:p>
    <w:p>
      <w:pPr>
        <w:pStyle w:val="Compact"/>
        <w:numPr>
          <w:ilvl w:val="0"/>
          <w:numId w:val="1003"/>
        </w:numPr>
      </w:pPr>
      <w:r>
        <w:t xml:space="preserve">Los ajustes realizados a los servicios implementados por el proveedor de servicios.</w:t>
      </w:r>
    </w:p>
    <w:p>
      <w:pPr>
        <w:pStyle w:val="Compact"/>
        <w:numPr>
          <w:ilvl w:val="0"/>
          <w:numId w:val="1003"/>
        </w:numPr>
      </w:pPr>
      <w:r>
        <w:t xml:space="preserve">Variaciones en los compromisos hechos y las sanciones aplicables.</w:t>
      </w:r>
    </w:p>
    <w:p>
      <w:pPr>
        <w:pStyle w:val="Compact"/>
        <w:numPr>
          <w:ilvl w:val="0"/>
          <w:numId w:val="1003"/>
        </w:numPr>
      </w:pPr>
      <w:r>
        <w:t xml:space="preserve">Reconfiguraciones organizacionales dentro del patrocinador o</w:t>
      </w:r>
      <w:r>
        <w:t xml:space="preserve"> </w:t>
      </w:r>
      <w:r>
        <w:t xml:space="preserve">Proveedor.</w:t>
      </w:r>
    </w:p>
    <w:p>
      <w:pPr>
        <w:pStyle w:val="Compact"/>
        <w:numPr>
          <w:ilvl w:val="0"/>
          <w:numId w:val="1003"/>
        </w:numPr>
      </w:pPr>
      <w:r>
        <w:t xml:space="preserve">Expansión o reducción en el campo de aplicación de los servicios</w:t>
      </w:r>
      <w:r>
        <w:t xml:space="preserve"> </w:t>
      </w:r>
      <w:r>
        <w:t xml:space="preserve">a quien el patrocinador se ha suscrito.</w:t>
      </w:r>
    </w:p>
    <w:p>
      <w:pPr>
        <w:pStyle w:val="FirstParagraph"/>
      </w:pPr>
      <w:r>
        <w:t xml:space="preserve">Se registra la gestión de versiones y revisiones del acuerdo</w:t>
      </w:r>
      <w:r>
        <w:t xml:space="preserve"> </w:t>
      </w:r>
      <w:r>
        <w:t xml:space="preserve">En el preámbulo del documento para facilitar el monitoreo.</w:t>
      </w:r>
    </w:p>
    <w:bookmarkEnd w:id="24"/>
    <w:bookmarkStart w:id="25" w:name="auditoría"/>
    <w:p>
      <w:pPr>
        <w:pStyle w:val="Heading2"/>
      </w:pPr>
      <w:r>
        <w:t xml:space="preserve">6. Auditoría</w:t>
      </w:r>
    </w:p>
    <w:p>
      <w:pPr>
        <w:pStyle w:val="FirstParagraph"/>
      </w:pPr>
      <w:r>
        <w:t xml:space="preserve">El proveedor de servicios se compromete a permitir el patrocinador, o para todo</w:t>
      </w:r>
      <w:r>
        <w:t xml:space="preserve"> </w:t>
      </w:r>
      <w:r>
        <w:t xml:space="preserve">Tercer oyente parcial que este último habría designado para consultar el conjunto</w:t>
      </w:r>
      <w:r>
        <w:t xml:space="preserve"> </w:t>
      </w:r>
      <w:r>
        <w:t xml:space="preserve">Documentos necesarios para el certificado de cumplimiento total de</w:t>
      </w:r>
      <w:r>
        <w:t xml:space="preserve"> </w:t>
      </w:r>
      <w:r>
        <w:t xml:space="preserve">Obligaciones relacionadas con el cumplimiento de las disposiciones del artículo 28</w:t>
      </w:r>
      <w:r>
        <w:t xml:space="preserve"> </w:t>
      </w:r>
      <w:r>
        <w:t xml:space="preserve">las regulaciones generales de protección de datos (GDPR), facilitando</w:t>
      </w:r>
      <w:r>
        <w:t xml:space="preserve"> </w:t>
      </w:r>
      <w:r>
        <w:t xml:space="preserve">Así, la realización de auditorías.</w:t>
      </w:r>
    </w:p>
    <w:p>
      <w:pPr>
        <w:pStyle w:val="BodyText"/>
      </w:pPr>
      <w:r>
        <w:t xml:space="preserve">** El proveedor se compromete en particular para poner a disposición del</w:t>
      </w:r>
      <w:r>
        <w:t xml:space="preserve"> </w:t>
      </w:r>
      <w:r>
        <w:t xml:space="preserve">Patrocinar la lista de todos los terceros que pueden acceder al</w:t>
      </w:r>
      <w:r>
        <w:t xml:space="preserve"> </w:t>
      </w:r>
      <w:r>
        <w:t xml:space="preserve">datos e informarle sobre cualquier cambio de subcontratistas.</w:t>
      </w:r>
    </w:p>
    <w:p>
      <w:pPr>
        <w:pStyle w:val="BodyText"/>
      </w:pPr>
      <w:r>
        <w:t xml:space="preserve">Por la aceptación de este acuerdo de servicio, el</w:t>
      </w:r>
      <w:r>
        <w:t xml:space="preserve"> </w:t>
      </w:r>
      <w:r>
        <w:t xml:space="preserve">El patrocinador da su autorización explícita a:</w:t>
      </w:r>
    </w:p>
    <w:p>
      <w:pPr>
        <w:pStyle w:val="Compact"/>
        <w:numPr>
          <w:ilvl w:val="0"/>
          <w:numId w:val="1004"/>
        </w:numPr>
      </w:pPr>
      <w:r>
        <w:t xml:space="preserve">** La Agencia Nacional para Sistemas de Sistemas de Información</w:t>
      </w:r>
      <w:r>
        <w:t xml:space="preserve"> </w:t>
      </w:r>
      <w:r>
        <w:t xml:space="preserve">(Anssi) ** así como la entidad de calificación competente para</w:t>
      </w:r>
      <w:r>
        <w:t xml:space="preserve"> </w:t>
      </w:r>
      <w:r>
        <w:t xml:space="preserve">realizar la verificación de la conformidad del servicio y su</w:t>
      </w:r>
      <w:r>
        <w:t xml:space="preserve"> </w:t>
      </w:r>
      <w:r>
        <w:t xml:space="preserve">Sistema de información a los estándares definidos por el repositorio</w:t>
      </w:r>
      <w:r>
        <w:t xml:space="preserve"> </w:t>
      </w:r>
      <w:r>
        <w:t xml:space="preserve">Secnumcloud.</w:t>
      </w:r>
    </w:p>
    <w:p>
      <w:pPr>
        <w:pStyle w:val="Compact"/>
        <w:numPr>
          <w:ilvl w:val="0"/>
          <w:numId w:val="1004"/>
        </w:numPr>
      </w:pPr>
      <w:r>
        <w:t xml:space="preserve">** Un proveedor de auditoría en seguridad de sistemas de información **,</w:t>
      </w:r>
      <w:r>
        <w:t xml:space="preserve"> </w:t>
      </w:r>
      <w:r>
        <w:t xml:space="preserve">debidamente calificado y expresamente designado por el proveedor de servicios, para</w:t>
      </w:r>
      <w:r>
        <w:t xml:space="preserve"> </w:t>
      </w:r>
      <w:r>
        <w:t xml:space="preserve">Realizar auditorías de seguridad relacionadas con el servicio emitido</w:t>
      </w:r>
      <w:r>
        <w:t xml:space="preserve"> </w:t>
      </w:r>
      <w:r>
        <w:t xml:space="preserve">por el proveedor.</w:t>
      </w:r>
    </w:p>
    <w:bookmarkEnd w:id="25"/>
    <w:bookmarkStart w:id="26" w:name="descripción-del-servicio"/>
    <w:p>
      <w:pPr>
        <w:pStyle w:val="Heading2"/>
      </w:pPr>
      <w:r>
        <w:t xml:space="preserve">7. Descripción del servicio</w:t>
      </w:r>
    </w:p>
    <w:p>
      <w:pPr>
        <w:pStyle w:val="FirstParagraph"/>
      </w:pPr>
      <w:r>
        <w:t xml:space="preserve">La oferta de servicio ofrecida por el proveedor de servicios se caracteriza por el</w:t>
      </w:r>
      <w:r>
        <w:t xml:space="preserve"> </w:t>
      </w:r>
      <w:r>
        <w:t xml:space="preserve">provisión de los siguientes servicios, que están alineados con</w:t>
      </w:r>
      <w:r>
        <w:t xml:space="preserve"> </w:t>
      </w:r>
      <w:r>
        <w:t xml:space="preserve">El principio de responsabilidad compartida detallada en estándares establecidos</w:t>
      </w:r>
      <w:r>
        <w:t xml:space="preserve"> </w:t>
      </w:r>
      <w:r>
        <w:t xml:space="preserve">por el repositorio de SecnumCloud:</w:t>
      </w:r>
    </w:p>
    <w:p>
      <w:pPr>
        <w:pStyle w:val="Compact"/>
        <w:numPr>
          <w:ilvl w:val="0"/>
          <w:numId w:val="1005"/>
        </w:numPr>
      </w:pPr>
      <w:r>
        <w:t xml:space="preserve">La provisión de una plataforma de gestión de contenedores Redhat</w:t>
      </w:r>
      <w:r>
        <w:t xml:space="preserve"> </w:t>
      </w:r>
      <w:r>
        <w:t xml:space="preserve">OpenShift pilotado por el proveedor de servicios.</w:t>
      </w:r>
      <w:r>
        <w:t xml:space="preserve"> </w:t>
      </w:r>
      <w:r>
        <w:t xml:space="preserve">Se entiende que el proveedor de servicios movilizará su experiencia para lograr</w:t>
      </w:r>
      <w:r>
        <w:t xml:space="preserve"> </w:t>
      </w:r>
      <w:r>
        <w:t xml:space="preserve">beneficios según las mejores prácticas profesionales,</w:t>
      </w:r>
      <w:r>
        <w:t xml:space="preserve"> </w:t>
      </w:r>
      <w:r>
        <w:t xml:space="preserve">de acuerdo con sus especificaciones y respetar los estándares de su</w:t>
      </w:r>
      <w:r>
        <w:t xml:space="preserve"> </w:t>
      </w:r>
      <w:r>
        <w:t xml:space="preserve">Certificación ISO/IEC 27001, así como pautas estándar</w:t>
      </w:r>
      <w:r>
        <w:t xml:space="preserve"> </w:t>
      </w:r>
      <w:r>
        <w:t xml:space="preserve">Secnumcloud.</w:t>
      </w:r>
    </w:p>
    <w:bookmarkEnd w:id="26"/>
    <w:bookmarkStart w:id="31" w:name="implementación-del-servicio"/>
    <w:p>
      <w:pPr>
        <w:pStyle w:val="Heading2"/>
      </w:pPr>
      <w:r>
        <w:t xml:space="preserve">8. Implementación del servicio</w:t>
      </w:r>
    </w:p>
    <w:p>
      <w:pPr>
        <w:pStyle w:val="FirstParagraph"/>
      </w:pPr>
      <w:r>
        <w:t xml:space="preserve">Se especifica que todas las operaciones y componentes</w:t>
      </w:r>
      <w:r>
        <w:t xml:space="preserve"> </w:t>
      </w:r>
      <w:r>
        <w:t xml:space="preserve">físico involucrado en la provisión de servicio calificado, incluido</w:t>
      </w:r>
      <w:r>
        <w:t xml:space="preserve"> </w:t>
      </w:r>
      <w:r>
        <w:t xml:space="preserve">Este acuerdo es el tema de, se encuentran en la Unión Europea.</w:t>
      </w:r>
      <w:r>
        <w:t xml:space="preserve"> </w:t>
      </w:r>
      <w:r>
        <w:t xml:space="preserve">Esto incluye soporte, supervisión operativa y</w:t>
      </w:r>
      <w:r>
        <w:t xml:space="preserve"> </w:t>
      </w:r>
      <w:r>
        <w:t xml:space="preserve">Supervisión de seguridad (SOC).</w:t>
      </w:r>
    </w:p>
    <w:bookmarkStart w:id="27" w:name="descripción-de-componentes-técnicos"/>
    <w:p>
      <w:pPr>
        <w:pStyle w:val="Heading3"/>
      </w:pPr>
      <w:r>
        <w:t xml:space="preserve">8.1.Descripción de componentes técnicos</w:t>
      </w:r>
    </w:p>
    <w:p>
      <w:pPr>
        <w:pStyle w:val="FirstParagraph"/>
      </w:pPr>
      <w:r>
        <w:t xml:space="preserve">El servicio PaaS (plataforma como servicio) abarca la totalidad de</w:t>
      </w:r>
      <w:r>
        <w:t xml:space="preserve"> </w:t>
      </w:r>
      <w:r>
        <w:t xml:space="preserve">componentes y servicios necesarios para una operación óptima en el</w:t>
      </w:r>
      <w:r>
        <w:t xml:space="preserve"> </w:t>
      </w:r>
      <w:r>
        <w:t xml:space="preserve">Respeto por la calificación SecnumCloud.</w:t>
      </w:r>
    </w:p>
    <w:p>
      <w:pPr>
        <w:pStyle w:val="BodyText"/>
      </w:pPr>
      <w:r>
        <w:t xml:space="preserve">En este sentido, su desempeño y confiabilidad están intrínsecamente vinculados</w:t>
      </w:r>
      <w:r>
        <w:t xml:space="preserve"> </w:t>
      </w:r>
      <w:r>
        <w:t xml:space="preserve">Componentes y servicios técnicos de ** IaaS ** Infraestructura</w:t>
      </w:r>
      <w:r>
        <w:t xml:space="preserve"> </w:t>
      </w:r>
      <w:r>
        <w:t xml:space="preserve">del proveedor de servicios, como se especifica en el documento [Acuerdo de servicio</w:t>
      </w:r>
      <w:r>
        <w:t xml:space="preserve"> </w:t>
      </w:r>
      <w:r>
        <w:t xml:space="preserve">IaaS] (../ funcionando%20in%20Progress%20-%20not%20use/IaaS/sla_iaas.md)</w:t>
      </w:r>
      <w:r>
        <w:t xml:space="preserve"> </w:t>
      </w:r>
      <w:r>
        <w:t xml:space="preserve">Proveedor.</w:t>
      </w:r>
    </w:p>
    <w:bookmarkEnd w:id="27"/>
    <w:bookmarkStart w:id="28" w:name="redhat-openshift-redhat-service-platform"/>
    <w:p>
      <w:pPr>
        <w:pStyle w:val="Heading3"/>
      </w:pPr>
      <w:r>
        <w:t xml:space="preserve">8.1.1.Redhat Openshift Redhat Service Platform</w:t>
      </w:r>
    </w:p>
    <w:p>
      <w:pPr>
        <w:pStyle w:val="FirstParagraph"/>
      </w:pPr>
      <w:r>
        <w:t xml:space="preserve">El servicio incluye la disposición dentro de una región, de 3</w:t>
      </w:r>
      <w:r>
        <w:t xml:space="preserve"> </w:t>
      </w:r>
      <w:r>
        <w:t xml:space="preserve">zonas de disponibilidad,</w:t>
      </w:r>
    </w:p>
    <w:bookmarkEnd w:id="28"/>
    <w:bookmarkStart w:id="29" w:name="X93187040f90fb45b83ec2654285bf7b1af7e007"/>
    <w:p>
      <w:pPr>
        <w:pStyle w:val="Heading3"/>
      </w:pPr>
      <w:r>
        <w:t xml:space="preserve">8.1.2.Infraestructura de plataforma Redenshift Redhat</w:t>
      </w:r>
    </w:p>
    <w:p>
      <w:pPr>
        <w:pStyle w:val="FirstParagraph"/>
      </w:pPr>
      <w:r>
        <w:t xml:space="preserve">El proveedor de servicios proporciona al patrocinador la consola de administración y</w:t>
      </w:r>
      <w:r>
        <w:t xml:space="preserve"> </w:t>
      </w:r>
      <w:r>
        <w:t xml:space="preserve">La API necesaria para la explotación de sus entornos PAAs Redhat</w:t>
      </w:r>
      <w:r>
        <w:t xml:space="preserve"> </w:t>
      </w:r>
      <w:r>
        <w:t xml:space="preserve">Openshift.También se compromete a mantenerlos en condición</w:t>
      </w:r>
      <w:r>
        <w:t xml:space="preserve"> </w:t>
      </w:r>
      <w:r>
        <w:t xml:space="preserve">operacional óptimo y para garantizar su seguridad continuamente.</w:t>
      </w:r>
    </w:p>
    <w:p>
      <w:pPr>
        <w:pStyle w:val="BodyText"/>
      </w:pPr>
      <w:r>
        <w:t xml:space="preserve">En el marco específico del servicio proporcionado, el proveedor de servicios pone</w:t>
      </w:r>
      <w:r>
        <w:t xml:space="preserve"> </w:t>
      </w:r>
      <w:r>
        <w:t xml:space="preserve">provisión del proveedor todas las interfaces y apis de la</w:t>
      </w:r>
      <w:r>
        <w:t xml:space="preserve"> </w:t>
      </w:r>
      <w:r>
        <w:t xml:space="preserve">La plataforma Redhat OpenShift dentro del propietario seleccionado.El regresa a</w:t>
      </w:r>
      <w:r>
        <w:t xml:space="preserve"> </w:t>
      </w:r>
      <w:r>
        <w:t xml:space="preserve">Patrocinador para establecer dispositivos de seguridad apropiados, como</w:t>
      </w:r>
      <w:r>
        <w:t xml:space="preserve"> </w:t>
      </w:r>
      <w:r>
        <w:t xml:space="preserve">que firewalls (firewall), firewalls de aplicaciones web (WAF) y</w:t>
      </w:r>
      <w:r>
        <w:t xml:space="preserve"> </w:t>
      </w:r>
      <w:r>
        <w:t xml:space="preserve">otras medidas de protección, así como definir las reglas de</w:t>
      </w:r>
      <w:r>
        <w:t xml:space="preserve"> </w:t>
      </w:r>
      <w:r>
        <w:t xml:space="preserve">Filtrado asociado para asegurar el acceso a su plataforma de acuerdo</w:t>
      </w:r>
      <w:r>
        <w:t xml:space="preserve"> </w:t>
      </w:r>
      <w:r>
        <w:t xml:space="preserve">a su política de seguridad.</w:t>
      </w:r>
    </w:p>
    <w:p>
      <w:pPr>
        <w:pStyle w:val="BodyText"/>
      </w:pPr>
      <w:r>
        <w:t xml:space="preserve">El proveedor de servicios alerta al patrocinador sobre el hecho de que</w:t>
      </w:r>
      <w:r>
        <w:t xml:space="preserve"> </w:t>
      </w:r>
      <w:r>
        <w:t xml:space="preserve">anormal de su consola de administración, especialmente en el caso de una sobrecarga</w:t>
      </w:r>
      <w:r>
        <w:t xml:space="preserve"> </w:t>
      </w:r>
      <w:r>
        <w:t xml:space="preserve">de sus apis de comando (martillo), puede desencadenar medidas de</w:t>
      </w:r>
      <w:r>
        <w:t xml:space="preserve"> </w:t>
      </w:r>
      <w:r>
        <w:t xml:space="preserve">Seguridad automática que resulta en bloquear el acceso a las API de</w:t>
      </w:r>
      <w:r>
        <w:t xml:space="preserve"> </w:t>
      </w:r>
      <w:r>
        <w:t xml:space="preserve">pedido o ciertos servicios del proveedor de servicios.Es aconsejable subrayar</w:t>
      </w:r>
      <w:r>
        <w:t xml:space="preserve"> </w:t>
      </w:r>
      <w:r>
        <w:t xml:space="preserve">que esta situación no constituye la inapropiabilidad del servicio pero</w:t>
      </w:r>
      <w:r>
        <w:t xml:space="preserve"> </w:t>
      </w:r>
      <w:r>
        <w:t xml:space="preserve">una acción de protección para la infraestructura del proveedor;por</w:t>
      </w:r>
      <w:r>
        <w:t xml:space="preserve"> </w:t>
      </w:r>
      <w:r>
        <w:t xml:space="preserve">En consecuencia, el patrocinador no puede considerarlo como un</w:t>
      </w:r>
      <w:r>
        <w:t xml:space="preserve"> </w:t>
      </w:r>
      <w:r>
        <w:t xml:space="preserve">no disponible en sus cálculos.</w:t>
      </w:r>
      <w:r>
        <w:t xml:space="preserve"> </w:t>
      </w:r>
      <w:r>
        <w:t xml:space="preserve">Además, el proveedor de servicios especifica al patrocinador que solicita</w:t>
      </w:r>
      <w:r>
        <w:t xml:space="preserve"> </w:t>
      </w:r>
      <w:r>
        <w:t xml:space="preserve">perfectamente idéntico (duplicados) enviados a sus API se limitan a</w:t>
      </w:r>
      <w:r>
        <w:t xml:space="preserve"> </w:t>
      </w:r>
      <w:r>
        <w:t xml:space="preserve">Uno por segundo (acelerador). Si el patrocinador envía solicitudes</w:t>
      </w:r>
      <w:r>
        <w:t xml:space="preserve"> </w:t>
      </w:r>
      <w:r>
        <w:t xml:space="preserve">idéntico a una frecuencia más alta, su rechazo no debe ser</w:t>
      </w:r>
      <w:r>
        <w:t xml:space="preserve"> </w:t>
      </w:r>
      <w:r>
        <w:t xml:space="preserve">interpretado como inseguridad del servicio.</w:t>
      </w:r>
    </w:p>
    <w:bookmarkEnd w:id="29"/>
    <w:bookmarkStart w:id="30" w:name="infraestructura-de-respaldo-asociada"/>
    <w:p>
      <w:pPr>
        <w:pStyle w:val="Heading3"/>
      </w:pPr>
      <w:r>
        <w:t xml:space="preserve">8.1.3. Infraestructura de respaldo asociada</w:t>
      </w:r>
    </w:p>
    <w:p>
      <w:pPr>
        <w:pStyle w:val="FirstParagraph"/>
      </w:pPr>
      <w:r>
        <w:t xml:space="preserve">El proveedor de servicios proporciona al patrocinador un</w:t>
      </w:r>
      <w:r>
        <w:t xml:space="preserve"> </w:t>
      </w:r>
      <w:r>
        <w:t xml:space="preserve">copia de seguridad integrada, dedicada y administrada, destinada a la protección de</w:t>
      </w:r>
      <w:r>
        <w:t xml:space="preserve"> </w:t>
      </w:r>
      <w:r>
        <w:t xml:space="preserve">Datos de sus entornos Redhat OpenShift.El proveedor de servicios proporciona</w:t>
      </w:r>
      <w:r>
        <w:t xml:space="preserve"> </w:t>
      </w:r>
      <w:r>
        <w:t xml:space="preserve">mantenimiento en condiciones operativas y condición de seguridad de</w:t>
      </w:r>
      <w:r>
        <w:t xml:space="preserve"> </w:t>
      </w:r>
      <w:r>
        <w:t xml:space="preserve">Esta plataforma de respaldo integrada.Independientemente del número de</w:t>
      </w:r>
      <w:r>
        <w:t xml:space="preserve"> </w:t>
      </w:r>
      <w:r>
        <w:t xml:space="preserve">Zonas de disponibilidad suscritas por el patrocinador, el proveedor de servicios</w:t>
      </w:r>
      <w:r>
        <w:t xml:space="preserve"> </w:t>
      </w:r>
      <w:r>
        <w:t xml:space="preserve">Asegura que la plataforma de respaldo del patrocinador se ubique en</w:t>
      </w:r>
      <w:r>
        <w:t xml:space="preserve"> </w:t>
      </w:r>
      <w:r>
        <w:t xml:space="preserve">Fuera del área de disponibilidad de cargas de trabajo salvaguardadas.</w:t>
      </w:r>
      <w:r>
        <w:t xml:space="preserve"> </w:t>
      </w:r>
      <w:r>
        <w:t xml:space="preserve">La prestation de sauvegarde se limite à la sauvegarde des machines</w:t>
      </w:r>
      <w:r>
        <w:t xml:space="preserve"> </w:t>
      </w:r>
      <w:r>
        <w:t xml:space="preserve">virtuelles et des configurations de topologie de l'environnement IaaS</w:t>
      </w:r>
      <w:r>
        <w:t xml:space="preserve"> </w:t>
      </w:r>
      <w:r>
        <w:t xml:space="preserve">des tenants SecNumCloud du COMMANDITAIRE. L'élaboration et</w:t>
      </w:r>
      <w:r>
        <w:t xml:space="preserve"> </w:t>
      </w:r>
      <w:r>
        <w:t xml:space="preserve">l'application d'une politique de sauvegarde adéquate par le</w:t>
      </w:r>
      <w:r>
        <w:t xml:space="preserve"> </w:t>
      </w:r>
      <w:r>
        <w:t xml:space="preserve">COMMANDITAIRE dépendent de la souscription à des unités d'œuvre</w:t>
      </w:r>
      <w:r>
        <w:t xml:space="preserve"> </w:t>
      </w:r>
      <w:r>
        <w:t xml:space="preserve">spécifiques. Il incombe donc au COMMANDITAIRE de s'assurer de la</w:t>
      </w:r>
      <w:r>
        <w:t xml:space="preserve"> </w:t>
      </w:r>
      <w:r>
        <w:t xml:space="preserve">disponibilité des ressources techniques nécessaires auprès du</w:t>
      </w:r>
      <w:r>
        <w:t xml:space="preserve"> </w:t>
      </w:r>
      <w:r>
        <w:t xml:space="preserve">Proveedor para implementar su política de salvaguardia o</w:t>
      </w:r>
      <w:r>
        <w:t xml:space="preserve"> </w:t>
      </w:r>
      <w:r>
        <w:t xml:space="preserve">Para ajustar este último de acuerdo con los medios disponibles.</w:t>
      </w:r>
    </w:p>
    <w:p>
      <w:pPr>
        <w:pStyle w:val="BodyText"/>
      </w:pPr>
      <w:r>
        <w:t xml:space="preserve">El proveedor de servicios se compromete a notificar al patrocinador en caso de</w:t>
      </w:r>
      <w:r>
        <w:t xml:space="preserve"> </w:t>
      </w:r>
      <w:r>
        <w:t xml:space="preserve">restricciones de capacidad y para proporcionar asistencia de asesoramiento para</w:t>
      </w:r>
      <w:r>
        <w:t xml:space="preserve"> </w:t>
      </w:r>
      <w:r>
        <w:t xml:space="preserve">La optimización de los recursos.Las obligaciones del proveedor son</w:t>
      </w:r>
      <w:r>
        <w:t xml:space="preserve"> </w:t>
      </w:r>
      <w:r>
        <w:t xml:space="preserve">se limitará a la implementación de las necesidades expresadas por el patrocinador</w:t>
      </w:r>
      <w:r>
        <w:t xml:space="preserve"> </w:t>
      </w:r>
      <w:r>
        <w:t xml:space="preserve">En términos de política de salvaguardia, en el marco de los recursos</w:t>
      </w:r>
      <w:r>
        <w:t xml:space="preserve"> </w:t>
      </w:r>
      <w:r>
        <w:t xml:space="preserve">suscrito.</w:t>
      </w:r>
      <w:r>
        <w:t xml:space="preserve"> </w:t>
      </w:r>
      <w:r>
        <w:t xml:space="preserve">### 8.1.4.Implementación de la reanudación de la actividad o continuidad de la actividad</w:t>
      </w:r>
    </w:p>
    <w:p>
      <w:pPr>
        <w:pStyle w:val="BodyText"/>
      </w:pPr>
      <w:r>
        <w:t xml:space="preserve">El proveedor de servicios proporciona al patrocinador el conjunto de soluciones</w:t>
      </w:r>
      <w:r>
        <w:t xml:space="preserve"> </w:t>
      </w:r>
      <w:r>
        <w:t xml:space="preserve">técnicas necesarias para garantizar una distribución óptima de su</w:t>
      </w:r>
      <w:r>
        <w:t xml:space="preserve"> </w:t>
      </w:r>
      <w:r>
        <w:t xml:space="preserve">Recursos a través de diversas áreas de disponibilidad.Es responsabilidad de</w:t>
      </w:r>
      <w:r>
        <w:t xml:space="preserve"> </w:t>
      </w:r>
      <w:r>
        <w:t xml:space="preserve">Patrocinar la responsabilidad de gestionar efectivamente esta distribución</w:t>
      </w:r>
      <w:r>
        <w:t xml:space="preserve"> </w:t>
      </w:r>
      <w:r>
        <w:t xml:space="preserve">de recursos, para los cuales tiene la posibilidad de explotar las herramientas</w:t>
      </w:r>
      <w:r>
        <w:t xml:space="preserve"> </w:t>
      </w:r>
      <w:r>
        <w:t xml:space="preserve">del proveedor disponible para este uso.</w:t>
      </w:r>
      <w:r>
        <w:t xml:space="preserve"> </w:t>
      </w:r>
      <w:r>
        <w:t xml:space="preserve">En particular, las aplicaciones implementadas en la plataforma Redhat</w:t>
      </w:r>
      <w:r>
        <w:t xml:space="preserve"> </w:t>
      </w:r>
      <w:r>
        <w:t xml:space="preserve">OpenShift debe encargarse de los mecanismos de redundancia</w:t>
      </w:r>
      <w:r>
        <w:t xml:space="preserve"> </w:t>
      </w:r>
      <w:r>
        <w:t xml:space="preserve">propuesto por el proveedor de servicios para poder beneficiarse de las soluciones de</w:t>
      </w:r>
      <w:r>
        <w:t xml:space="preserve"> </w:t>
      </w:r>
      <w:r>
        <w:t xml:space="preserve">Reanudación de actividad o continuidad de la actividad asociada.</w:t>
      </w:r>
    </w:p>
    <w:bookmarkEnd w:id="30"/>
    <w:bookmarkEnd w:id="31"/>
    <w:bookmarkStart w:id="33" w:name="compromisos-y-niveles-de-servicio"/>
    <w:p>
      <w:pPr>
        <w:pStyle w:val="Heading2"/>
      </w:pPr>
      <w:r>
        <w:t xml:space="preserve">9. Compromisos y niveles de servicio</w:t>
      </w:r>
    </w:p>
    <w:p>
      <w:pPr>
        <w:pStyle w:val="FirstParagraph"/>
      </w:pPr>
      <w:r>
        <w:t xml:space="preserve">El proveedor de servicios se compromete a garantizar el monitoreo continuo del</w:t>
      </w:r>
      <w:r>
        <w:t xml:space="preserve"> </w:t>
      </w:r>
      <w:r>
        <w:t xml:space="preserve">rendimiento y la integridad de seguridad de sus plataformas y</w:t>
      </w:r>
      <w:r>
        <w:t xml:space="preserve"> </w:t>
      </w:r>
      <w:r>
        <w:t xml:space="preserve">Servicios, asegurando su operación óptima.</w:t>
      </w:r>
      <w:r>
        <w:t xml:space="preserve"> </w:t>
      </w:r>
      <w:r>
        <w:t xml:space="preserve">La falta de disponibilidad de un servicio, estar sujeto a un indicador de</w:t>
      </w:r>
      <w:r>
        <w:t xml:space="preserve"> </w:t>
      </w:r>
      <w:r>
        <w:t xml:space="preserve">rendimiento, se reconoce tan pronto como se identifica por el sistema de</w:t>
      </w:r>
      <w:r>
        <w:t xml:space="preserve"> </w:t>
      </w:r>
      <w:r>
        <w:t xml:space="preserve">supervisión del proveedor de servicios, o después de una notificación por parte de un</w:t>
      </w:r>
      <w:r>
        <w:t xml:space="preserve"> </w:t>
      </w:r>
      <w:r>
        <w:t xml:space="preserve">Patrocinador de usuario.El comienzo de la falta de disponibilidad se fija en</w:t>
      </w:r>
      <w:r>
        <w:t xml:space="preserve"> </w:t>
      </w:r>
      <w:r>
        <w:t xml:space="preserve">el primer momento entre estos dos eventos, para garantizar un</w:t>
      </w:r>
      <w:r>
        <w:t xml:space="preserve"> </w:t>
      </w:r>
      <w:r>
        <w:t xml:space="preserve">recuento preciso y solo tiempo de falta de disponibilidad.</w:t>
      </w:r>
    </w:p>
    <w:p>
      <w:pPr>
        <w:pStyle w:val="BodyText"/>
      </w:pPr>
      <w:r>
        <w:t xml:space="preserve">El fin de la falta de disponibilidad está oficialmente marcado por el</w:t>
      </w:r>
      <w:r>
        <w:t xml:space="preserve"> </w:t>
      </w:r>
      <w:r>
        <w:t xml:space="preserve">Restauración completa del servicio, confirmada por las herramientas de</w:t>
      </w:r>
      <w:r>
        <w:t xml:space="preserve"> </w:t>
      </w:r>
      <w:r>
        <w:t xml:space="preserve">supervisión del proveedor de servicios, ya sea por devolución del usuario, asegurando</w:t>
      </w:r>
      <w:r>
        <w:t xml:space="preserve"> </w:t>
      </w:r>
      <w:r>
        <w:t xml:space="preserve">Por lo tanto, una recuperación efectiva de las operaciones y una medida fiel de la</w:t>
      </w:r>
      <w:r>
        <w:t xml:space="preserve"> </w:t>
      </w:r>
      <w:r>
        <w:t xml:space="preserve">Duración de la interrupción.</w:t>
      </w:r>
    </w:p>
    <w:bookmarkStart w:id="32" w:name="X3e638cbc8c8aa376adb666ccff7869a4683d27a"/>
    <w:p>
      <w:pPr>
        <w:pStyle w:val="Heading3"/>
      </w:pPr>
      <w:r>
        <w:t xml:space="preserve">9.1.Compromisos de disponibilidad de la plataforma Redhat OpenShift</w:t>
      </w:r>
    </w:p>
    <w:p>
      <w:pPr>
        <w:pStyle w:val="FirstParagraph"/>
      </w:pPr>
      <w:r>
        <w:t xml:space="preserve">El proveedor de servicios se compromete a mantener un nivel de disponibilidad y</w:t>
      </w:r>
      <w:r>
        <w:t xml:space="preserve"> </w:t>
      </w:r>
      <w:r>
        <w:t xml:space="preserve">rendimiento de acuerdo con los estándares definidos para cada período</w:t>
      </w:r>
      <w:r>
        <w:t xml:space="preserve"> </w:t>
      </w:r>
      <w:r>
        <w:t xml:space="preserve">spécifiée. Les engagements de niveau de service (Service Level</w:t>
      </w:r>
      <w:r>
        <w:t xml:space="preserve"> </w:t>
      </w:r>
      <w:r>
        <w:t xml:space="preserve">Agreements, SLAs) s'appliquent sous réserve que le COMMANDITAIRE</w:t>
      </w:r>
      <w:r>
        <w:t xml:space="preserve"> </w:t>
      </w:r>
      <w:r>
        <w:t xml:space="preserve">implémente ses systèmes à travers au moins deux des zones de</w:t>
      </w:r>
      <w:r>
        <w:t xml:space="preserve"> </w:t>
      </w:r>
      <w:r>
        <w:t xml:space="preserve">disponibilité présentes dans la région concernée.</w:t>
      </w:r>
    </w:p>
    <w:p>
      <w:pPr>
        <w:pStyle w:val="BodyText"/>
      </w:pPr>
      <w:r>
        <w:t xml:space="preserve">En l'absence de respect de ces conditions par le COMMANDITAIRE,</w:t>
      </w:r>
      <w:r>
        <w:t xml:space="preserve"> </w:t>
      </w:r>
      <w:r>
        <w:t xml:space="preserve">celui-ci se verra dans l'incapacité de revendiquer l'application des</w:t>
      </w:r>
      <w:r>
        <w:t xml:space="preserve"> </w:t>
      </w:r>
      <w:r>
        <w:t xml:space="preserve">SLAs concernés, lesquels sont spécifiquement identifiés par un</w:t>
      </w:r>
      <w:r>
        <w:t xml:space="preserve"> </w:t>
      </w:r>
      <w:r>
        <w:t xml:space="preserve">Asterisco (*).La accesibilidad a SLAS se realiza a través de la interfaz</w:t>
      </w:r>
      <w:r>
        <w:t xml:space="preserve"> </w:t>
      </w:r>
      <w:r>
        <w:t xml:space="preserve">Patrocinador.** Las medidas escuchan mensualmente calculadas **:</w:t>
      </w:r>
    </w:p>
    <w:p>
      <w:pPr>
        <w:pStyle w:val="BodyText"/>
      </w:pPr>
      <w:r>
        <w:t xml:space="preserve">-**SLA 1 (*): IC-PAAS_SNC-01 **-Disponibilidad de la plataforma</w:t>
      </w:r>
      <w:r>
        <w:t xml:space="preserve"> </w:t>
      </w:r>
      <w:r>
        <w:t xml:space="preserve">Redhat OpenShift: tasa de disponibilidad garantizada del 99.9%, calculada en</w:t>
      </w:r>
      <w:r>
        <w:t xml:space="preserve"> </w:t>
      </w:r>
      <w:r>
        <w:t xml:space="preserve">Una base de 24 horas, 7 días a la semana.</w:t>
      </w:r>
    </w:p>
    <w:p>
      <w:pPr>
        <w:pStyle w:val="BodyText"/>
      </w:pPr>
      <w:r>
        <w:t xml:space="preserve">*** Observaciones ***:</w:t>
      </w:r>
    </w:p>
    <w:p>
      <w:pPr>
        <w:numPr>
          <w:ilvl w:val="0"/>
          <w:numId w:val="1006"/>
        </w:numPr>
      </w:pPr>
      <w:r>
        <w:rPr>
          <w:i/>
          <w:iCs/>
        </w:rPr>
        <w:t xml:space="preserve">En respuesta, un ataque por negación del servicio distribuido (DDoS), el</w:t>
      </w:r>
      <w:r>
        <w:rPr>
          <w:i/>
          <w:iCs/>
        </w:rPr>
        <w:t xml:space="preserve"> </w:t>
      </w:r>
      <w:r>
        <w:rPr>
          <w:i/>
          <w:iCs/>
        </w:rPr>
        <w:t xml:space="preserve">El proveedor se reserva el derecho de ajustar su configuración de enrutamiento</w:t>
      </w:r>
      <w:r>
        <w:rPr>
          <w:i/>
          <w:iCs/>
        </w:rPr>
        <w:t xml:space="preserve"> </w:t>
      </w:r>
      <w:r>
        <w:rPr>
          <w:i/>
          <w:iCs/>
        </w:rPr>
        <w:t xml:space="preserve">Internet para limitar el impacto de este ataque y guardar su</w:t>
      </w:r>
      <w:r>
        <w:rPr>
          <w:i/>
          <w:iCs/>
        </w:rPr>
        <w:t xml:space="preserve"> </w:t>
      </w:r>
      <w:r>
        <w:rPr>
          <w:i/>
          <w:iCs/>
        </w:rPr>
        <w:t xml:space="preserve">infraestructura.En particular, si una dirección IP perteneciente a</w:t>
      </w:r>
      <w:r>
        <w:rPr>
          <w:i/>
          <w:iCs/>
        </w:rPr>
        <w:t xml:space="preserve"> </w:t>
      </w:r>
      <w:r>
        <w:rPr>
          <w:i/>
          <w:iCs/>
        </w:rPr>
        <w:t xml:space="preserve">El patrocinador está dirigido, el proveedor de servicios puede usar la técnica</w:t>
      </w:r>
      <w:r>
        <w:rPr>
          <w:i/>
          <w:iCs/>
        </w:rPr>
        <w:t xml:space="preserve"> </w:t>
      </w:r>
      <w:r>
        <w:rPr>
          <w:i/>
          <w:iCs/>
        </w:rPr>
        <w:t xml:space="preserve">de Blackholing a través de la comunidad BGP para bloquear todo el tráfico a</w:t>
      </w:r>
      <w:r>
        <w:rPr>
          <w:i/>
          <w:iCs/>
        </w:rPr>
        <w:t xml:space="preserve"> </w:t>
      </w:r>
      <w:r>
        <w:rPr>
          <w:i/>
          <w:iCs/>
        </w:rPr>
        <w:t xml:space="preserve">la dirección IP se refiere a sus proveedores a sus proveedores, para que</w:t>
      </w:r>
      <w:r>
        <w:rPr>
          <w:i/>
          <w:iCs/>
        </w:rPr>
        <w:t xml:space="preserve"> </w:t>
      </w:r>
      <w:r>
        <w:rPr>
          <w:i/>
          <w:iCs/>
        </w:rPr>
        <w:t xml:space="preserve">proteger los recursos del patrocinador y los de los demás</w:t>
      </w:r>
      <w:r>
        <w:rPr>
          <w:i/>
          <w:iCs/>
        </w:rPr>
        <w:t xml:space="preserve"> </w:t>
      </w:r>
      <w:r>
        <w:rPr>
          <w:i/>
          <w:iCs/>
        </w:rPr>
        <w:t xml:space="preserve">Patrocinadores e infraestructura del proveedor de servicios.El proveedor</w:t>
      </w:r>
      <w:r>
        <w:rPr>
          <w:i/>
          <w:iCs/>
        </w:rPr>
        <w:t xml:space="preserve"> </w:t>
      </w:r>
      <w:r>
        <w:rPr>
          <w:i/>
          <w:iCs/>
        </w:rPr>
        <w:t xml:space="preserve">alienta al patrocinador a adoptar medidas similares,</w:t>
      </w:r>
      <w:r>
        <w:rPr>
          <w:i/>
          <w:iCs/>
        </w:rPr>
        <w:t xml:space="preserve"> </w:t>
      </w:r>
      <w:r>
        <w:rPr>
          <w:i/>
          <w:iCs/>
        </w:rPr>
        <w:t xml:space="preserve">como el uso del software de firewall de aplicaciones web</w:t>
      </w:r>
      <w:r>
        <w:rPr>
          <w:i/>
          <w:iCs/>
        </w:rPr>
        <w:t xml:space="preserve"> </w:t>
      </w:r>
      <w:r>
        <w:rPr>
          <w:i/>
          <w:iCs/>
        </w:rPr>
        <w:t xml:space="preserve">Disponible en el mercado y para configurar cuidadosamente sus grupos</w:t>
      </w:r>
      <w:r>
        <w:rPr>
          <w:i/>
          <w:iCs/>
        </w:rPr>
        <w:t xml:space="preserve"> </w:t>
      </w:r>
      <w:r>
        <w:rPr>
          <w:i/>
          <w:iCs/>
        </w:rPr>
        <w:t xml:space="preserve">Seguridad a través de la API de control.</w:t>
      </w:r>
    </w:p>
    <w:p>
      <w:pPr>
        <w:numPr>
          <w:ilvl w:val="0"/>
          <w:numId w:val="1006"/>
        </w:numPr>
      </w:pPr>
      <w:r>
        <w:rPr>
          <w:i/>
          <w:iCs/>
        </w:rPr>
        <w:t xml:space="preserve">El proveedor de servicios insiste en la necesidad del patrocinador de</w:t>
      </w:r>
      <w:r>
        <w:rPr>
          <w:i/>
          <w:iCs/>
        </w:rPr>
        <w:t xml:space="preserve"> </w:t>
      </w:r>
      <w:r>
        <w:rPr>
          <w:i/>
          <w:iCs/>
        </w:rPr>
        <w:t xml:space="preserve">minimizar las aberturas de flujo, evitando especialmente hacer</w:t>
      </w:r>
      <w:r>
        <w:rPr>
          <w:i/>
          <w:iCs/>
        </w:rPr>
        <w:t xml:space="preserve"> </w:t>
      </w:r>
      <w:r>
        <w:rPr>
          <w:i/>
          <w:iCs/>
        </w:rPr>
        <w:t xml:space="preserve">Accesible los puertos de administración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SSH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 TCP 22) y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RDP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 TCP 3389) desde el conjunto de Internet (sub-red</w:t>
      </w:r>
      <w:r>
        <w:rPr>
          <w:i/>
          <w:iCs/>
        </w:rPr>
        <w:t xml:space="preserve"> </w:t>
      </w:r>
      <w:r>
        <w:rPr>
          <w:i/>
          <w:iCs/>
        </w:rPr>
        <w:t xml:space="preserve">0.0.0.0/0), así como protocolos internos como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SMB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</w:t>
      </w:r>
      <w:r>
        <w:rPr>
          <w:i/>
          <w:iCs/>
        </w:rPr>
        <w:t xml:space="preserve"> </w:t>
      </w:r>
      <w:r>
        <w:rPr>
          <w:i/>
          <w:iCs/>
        </w:rPr>
        <w:t xml:space="preserve">TCP/UDP 445) 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NFS</w:t>
      </w:r>
      <w:r>
        <w:rPr>
          <w:b/>
          <w:bCs/>
          <w:i/>
          <w:iCs/>
        </w:rPr>
        <w:t xml:space="preserve"> </w:t>
      </w:r>
      <w:r>
        <w:rPr>
          <w:i/>
          <w:iCs/>
        </w:rPr>
        <w:t xml:space="preserve"> </w:t>
      </w:r>
      <w:r>
        <w:rPr>
          <w:i/>
          <w:iCs/>
        </w:rPr>
        <w:t xml:space="preserve">(puerto TCP/UDP 2049).</w:t>
      </w:r>
    </w:p>
    <w:bookmarkEnd w:id="32"/>
    <w:bookmarkEnd w:id="33"/>
    <w:bookmarkStart w:id="37" w:name="X8a74b33e053b835bc57944d95644952f0029ce1"/>
    <w:p>
      <w:pPr>
        <w:pStyle w:val="Heading2"/>
      </w:pPr>
      <w:r>
        <w:t xml:space="preserve">10. Modelo de responsabilidad compartida aplicable</w:t>
      </w:r>
    </w:p>
    <w:bookmarkStart w:id="34" w:name="X4a470bcdf4ec40f0ad737cec0a71fc3d3fe5288"/>
    <w:p>
      <w:pPr>
        <w:pStyle w:val="Heading3"/>
      </w:pPr>
      <w:r>
        <w:t xml:space="preserve">10.1.Responsabilidad y obligaciones del proveedor</w:t>
      </w:r>
    </w:p>
    <w:p>
      <w:pPr>
        <w:pStyle w:val="FirstParagraph"/>
      </w:pPr>
      <w:r>
        <w:t xml:space="preserve">El proveedor de servicios se compromete a proporcionar el patrocinador de</w:t>
      </w:r>
      <w:r>
        <w:t xml:space="preserve"> </w:t>
      </w:r>
      <w:r>
        <w:t xml:space="preserve">interfaces de usuario en francés e inglés, facilitando así</w:t>
      </w:r>
      <w:r>
        <w:t xml:space="preserve"> </w:t>
      </w:r>
      <w:r>
        <w:t xml:space="preserve">Acceso y gestión de los servicios proporcionados.El patrocinador, su</w:t>
      </w:r>
      <w:r>
        <w:t xml:space="preserve"> </w:t>
      </w:r>
      <w:r>
        <w:t xml:space="preserve">lado, comprometerse a cumplir con limitaciones legales y regulatorias en</w:t>
      </w:r>
      <w:r>
        <w:t xml:space="preserve"> </w:t>
      </w:r>
      <w:r>
        <w:t xml:space="preserve">vigor relacionado con los datos que confía al proveedor de servicios para</w:t>
      </w:r>
      <w:r>
        <w:t xml:space="preserve"> </w:t>
      </w:r>
      <w:r>
        <w:t xml:space="preserve">tratamiento.</w:t>
      </w:r>
    </w:p>
    <w:p>
      <w:pPr>
        <w:pStyle w:val="BodyText"/>
      </w:pPr>
      <w:r>
        <w:t xml:space="preserve">En caso de transmisión de datos sujeto a requisitos legales</w:t>
      </w:r>
      <w:r>
        <w:t xml:space="preserve"> </w:t>
      </w:r>
      <w:r>
        <w:t xml:space="preserve">específico, el proveedor de servicios colaborará con el patrocinador para</w:t>
      </w:r>
      <w:r>
        <w:t xml:space="preserve"> </w:t>
      </w:r>
      <w:r>
        <w:t xml:space="preserve">identificar e implementar las medidas de seguridad necesarias,</w:t>
      </w:r>
      <w:r>
        <w:t xml:space="preserve"> </w:t>
      </w:r>
      <w:r>
        <w:t xml:space="preserve">de acuerdo con las obligaciones del proveedor y dentro del marco de</w:t>
      </w:r>
      <w:r>
        <w:t xml:space="preserve"> </w:t>
      </w:r>
      <w:r>
        <w:t xml:space="preserve">provisión de servicios.</w:t>
      </w:r>
    </w:p>
    <w:p>
      <w:pPr>
        <w:pStyle w:val="BodyText"/>
      </w:pPr>
      <w:r>
        <w:t xml:space="preserve">El proveedor también toma el compromiso de examinar y tomar</w:t>
      </w:r>
      <w:r>
        <w:t xml:space="preserve"> </w:t>
      </w:r>
      <w:r>
        <w:t xml:space="preserve">En consideración, las necesidades específicas vinculadas a los sectores de actividad</w:t>
      </w:r>
      <w:r>
        <w:t xml:space="preserve"> </w:t>
      </w:r>
      <w:r>
        <w:t xml:space="preserve">del patrocinador, respetando las limitaciones de su responsabilidad,</w:t>
      </w:r>
      <w:r>
        <w:t xml:space="preserve"> </w:t>
      </w:r>
      <w:r>
        <w:t xml:space="preserve">Para garantizar un nivel de seguridad adaptado a la información procesada.</w:t>
      </w:r>
    </w:p>
    <w:p>
      <w:pPr>
        <w:pStyle w:val="BodyText"/>
      </w:pPr>
      <w:r>
        <w:t xml:space="preserve">Si es probable que un proyecto afecte la seguridad del servicio ofrecido</w:t>
      </w:r>
      <w:r>
        <w:t xml:space="preserve"> </w:t>
      </w:r>
      <w:r>
        <w:t xml:space="preserve">o la disponibilidad de dicho servicio o para generar una pérdida de</w:t>
      </w:r>
      <w:r>
        <w:t xml:space="preserve"> </w:t>
      </w:r>
      <w:r>
        <w:t xml:space="preserve">funcionalidad, el proveedor de servicios se compromete a informar a través de la consola</w:t>
      </w:r>
      <w:r>
        <w:t xml:space="preserve"> </w:t>
      </w:r>
      <w:r>
        <w:t xml:space="preserve">o por correo electrónico en contacto con el patrocinador y dentro de un tiempo razonable</w:t>
      </w:r>
      <w:r>
        <w:t xml:space="preserve"> </w:t>
      </w:r>
      <w:r>
        <w:t xml:space="preserve">el patrocinador de impactos potenciales, medidas correctivas</w:t>
      </w:r>
      <w:r>
        <w:t xml:space="preserve"> </w:t>
      </w:r>
      <w:r>
        <w:t xml:space="preserve">previstos y riesgos residuales que le preocupan, asegurando un</w:t>
      </w:r>
      <w:r>
        <w:t xml:space="preserve"> </w:t>
      </w:r>
      <w:r>
        <w:t xml:space="preserve">Transparencia total.</w:t>
      </w:r>
    </w:p>
    <w:p>
      <w:pPr>
        <w:pStyle w:val="BodyText"/>
      </w:pPr>
      <w:r>
        <w:t xml:space="preserve">El proveedor de servicios se compromete a no usar los datos del patrocinador</w:t>
      </w:r>
      <w:r>
        <w:t xml:space="preserve"> </w:t>
      </w:r>
      <w:r>
        <w:t xml:space="preserve">desde la producción hasta realizar pruebas, con la excepción de</w:t>
      </w:r>
      <w:r>
        <w:t xml:space="preserve"> </w:t>
      </w:r>
      <w:r>
        <w:t xml:space="preserve">obtenir préalablement l'autorisation explicite du COMMANDITAIRE, auquel</w:t>
      </w:r>
      <w:r>
        <w:t xml:space="preserve"> </w:t>
      </w:r>
      <w:r>
        <w:t xml:space="preserve">cas le Prestataire s'engage à anonymiser ces données et à en assurer la</w:t>
      </w:r>
      <w:r>
        <w:t xml:space="preserve"> </w:t>
      </w:r>
      <w:r>
        <w:t xml:space="preserve">confidentialité lors de leur anonymisation.</w:t>
      </w:r>
    </w:p>
    <w:p>
      <w:pPr>
        <w:pStyle w:val="BodyText"/>
      </w:pPr>
      <w:r>
        <w:t xml:space="preserve">En cas de changement de sous-traitant pour l'hébergement, Le</w:t>
      </w:r>
      <w:r>
        <w:t xml:space="preserve"> </w:t>
      </w:r>
      <w:r>
        <w:t xml:space="preserve">Prestataire informera le COMMANDITAIRE en amont, s'assurant que cette</w:t>
      </w:r>
      <w:r>
        <w:t xml:space="preserve"> </w:t>
      </w:r>
      <w:r>
        <w:t xml:space="preserve">transition n'affecte pas négativement le service fourni.</w:t>
      </w:r>
    </w:p>
    <w:p>
      <w:pPr>
        <w:pStyle w:val="BodyText"/>
      </w:pPr>
      <w:r>
        <w:t xml:space="preserve">À la demande du COMMANDITAIRE, le Prestataire fournira l'accès à son</w:t>
      </w:r>
      <w:r>
        <w:t xml:space="preserve"> </w:t>
      </w:r>
      <w:r>
        <w:t xml:space="preserve">Regulaciones internas, a su Carta de Ética, a las sanciones aplicables</w:t>
      </w:r>
      <w:r>
        <w:t xml:space="preserve"> </w:t>
      </w:r>
      <w:r>
        <w:t xml:space="preserve">en caso de incumplimiento de su política de seguridad, a los eventos de los eventos</w:t>
      </w:r>
      <w:r>
        <w:t xml:space="preserve"> </w:t>
      </w:r>
      <w:r>
        <w:t xml:space="preserve">En cuanto a los procedimientos relacionados con el servicio y los requisitos</w:t>
      </w:r>
      <w:r>
        <w:t xml:space="preserve"> </w:t>
      </w:r>
      <w:r>
        <w:t xml:space="preserve">seguridad específica.</w:t>
      </w:r>
    </w:p>
    <w:p>
      <w:pPr>
        <w:pStyle w:val="BodyText"/>
      </w:pPr>
      <w:r>
        <w:t xml:space="preserve">El proveedor de servicios se compromete a informar al patrocinador de cualquier cambio</w:t>
      </w:r>
      <w:r>
        <w:t xml:space="preserve"> </w:t>
      </w:r>
      <w:r>
        <w:t xml:space="preserve">para venir elementos de software bajo la responsabilidad de la nube</w:t>
      </w:r>
      <w:r>
        <w:t xml:space="preserve"> </w:t>
      </w:r>
      <w:r>
        <w:t xml:space="preserve">Templo siempre que no se pueda garantizar la compatibilidad completa.</w:t>
      </w:r>
    </w:p>
    <w:bookmarkEnd w:id="34"/>
    <w:bookmarkStart w:id="35" w:name="X95a040146ba050196120b0f706b46cbb964d333"/>
    <w:p>
      <w:pPr>
        <w:pStyle w:val="Heading3"/>
      </w:pPr>
      <w:r>
        <w:t xml:space="preserve">10.2.Limitación de responsabilidad del proveedor</w:t>
      </w:r>
    </w:p>
    <w:p>
      <w:pPr>
        <w:pStyle w:val="FirstParagraph"/>
      </w:pPr>
      <w:r>
        <w:t xml:space="preserve">La estructura de responsabilidad compartida reduce efectivamente el alcance</w:t>
      </w:r>
      <w:r>
        <w:t xml:space="preserve"> </w:t>
      </w:r>
      <w:r>
        <w:t xml:space="preserve">Desde la intervención del proveedor de servicios hasta los aspectos vinculados a la oferta</w:t>
      </w:r>
      <w:r>
        <w:t xml:space="preserve"> </w:t>
      </w:r>
      <w:r>
        <w:t xml:space="preserve">Una plataforma funcional Redhat OpenShift, que comprende:</w:t>
      </w:r>
    </w:p>
    <w:p>
      <w:pPr>
        <w:pStyle w:val="Compact"/>
        <w:numPr>
          <w:ilvl w:val="0"/>
          <w:numId w:val="1007"/>
        </w:numPr>
      </w:pPr>
      <w:r>
        <w:t xml:space="preserve">Gestión de la infraestructura IaaS que admite la plataforma</w:t>
      </w:r>
      <w:r>
        <w:t xml:space="preserve"> </w:t>
      </w:r>
      <w:r>
        <w:t xml:space="preserve">Redhat Openshift y su aprovisionamiento,</w:t>
      </w:r>
    </w:p>
    <w:p>
      <w:pPr>
        <w:pStyle w:val="Compact"/>
        <w:numPr>
          <w:ilvl w:val="0"/>
          <w:numId w:val="1007"/>
        </w:numPr>
      </w:pPr>
      <w:r>
        <w:t xml:space="preserve">La gestión de los sistemas necesarios para el funcionamiento adecuado del</w:t>
      </w:r>
      <w:r>
        <w:t xml:space="preserve"> </w:t>
      </w:r>
      <w:r>
        <w:t xml:space="preserve">plataforma,</w:t>
      </w:r>
    </w:p>
    <w:p>
      <w:pPr>
        <w:pStyle w:val="Compact"/>
        <w:numPr>
          <w:ilvl w:val="0"/>
          <w:numId w:val="1007"/>
        </w:numPr>
      </w:pPr>
      <w:r>
        <w:t xml:space="preserve">Mantener condiciones de seguridad,</w:t>
      </w:r>
    </w:p>
    <w:p>
      <w:pPr>
        <w:pStyle w:val="Compact"/>
        <w:numPr>
          <w:ilvl w:val="0"/>
          <w:numId w:val="1007"/>
        </w:numPr>
      </w:pPr>
      <w:r>
        <w:t xml:space="preserve">Actualización de la plataforma Redhat OpenShift,</w:t>
      </w:r>
    </w:p>
    <w:p>
      <w:pPr>
        <w:pStyle w:val="Compact"/>
        <w:numPr>
          <w:ilvl w:val="0"/>
          <w:numId w:val="1007"/>
        </w:numPr>
      </w:pPr>
      <w:r>
        <w:t xml:space="preserve">La copia de seguridad de los datos de configuración esenciales de este</w:t>
      </w:r>
      <w:r>
        <w:t xml:space="preserve"> </w:t>
      </w:r>
      <w:r>
        <w:t xml:space="preserve">plataforma, con la excepción de datos y aplicaciones de</w:t>
      </w:r>
      <w:r>
        <w:t xml:space="preserve"> </w:t>
      </w:r>
      <w:r>
        <w:t xml:space="preserve">Patrocinador que cae bajo su responsabilidad.</w:t>
      </w:r>
    </w:p>
    <w:p>
      <w:pPr>
        <w:pStyle w:val="FirstParagraph"/>
      </w:pPr>
      <w:r>
        <w:t xml:space="preserve">Ella excluye en particular, pero sin limitarse a sí misma:</w:t>
      </w:r>
    </w:p>
    <w:p>
      <w:pPr>
        <w:pStyle w:val="Compact"/>
        <w:numPr>
          <w:ilvl w:val="0"/>
          <w:numId w:val="1008"/>
        </w:numPr>
      </w:pPr>
      <w:r>
        <w:t xml:space="preserve">Actualización de sistemas operativos y software instalado</w:t>
      </w:r>
      <w:r>
        <w:t xml:space="preserve"> </w:t>
      </w:r>
      <w:r>
        <w:t xml:space="preserve">por el patrocinador en sus entornos openshift en sus espacios</w:t>
      </w:r>
      <w:r>
        <w:t xml:space="preserve"> </w:t>
      </w:r>
      <w:r>
        <w:t xml:space="preserve">alquiler,</w:t>
      </w:r>
    </w:p>
    <w:p>
      <w:pPr>
        <w:pStyle w:val="Compact"/>
        <w:numPr>
          <w:ilvl w:val="0"/>
          <w:numId w:val="1008"/>
        </w:numPr>
      </w:pPr>
      <w:r>
        <w:t xml:space="preserve">La seguridad de los programas, software y aplicaciones instaladas en</w:t>
      </w:r>
      <w:r>
        <w:t xml:space="preserve"> </w:t>
      </w:r>
      <w:r>
        <w:t xml:space="preserve">Dentro del entorno OpenShift por el patrocinador,</w:t>
      </w:r>
    </w:p>
    <w:p>
      <w:pPr>
        <w:pStyle w:val="Compact"/>
        <w:numPr>
          <w:ilvl w:val="0"/>
          <w:numId w:val="1008"/>
        </w:numPr>
      </w:pPr>
      <w:r>
        <w:t xml:space="preserve">Copia de seguridad de datos a nivel de aplicación,</w:t>
      </w:r>
    </w:p>
    <w:p>
      <w:pPr>
        <w:pStyle w:val="Compact"/>
        <w:numPr>
          <w:ilvl w:val="0"/>
          <w:numId w:val="1008"/>
        </w:numPr>
      </w:pPr>
      <w:r>
        <w:t xml:space="preserve">La configuración de las políticas de salvaguardia.</w:t>
      </w:r>
    </w:p>
    <w:bookmarkEnd w:id="35"/>
    <w:bookmarkStart w:id="36" w:name="limitación-de-acceso"/>
    <w:p>
      <w:pPr>
        <w:pStyle w:val="Heading3"/>
      </w:pPr>
      <w:r>
        <w:t xml:space="preserve">10.3.Limitación de acceso</w:t>
      </w:r>
    </w:p>
    <w:p>
      <w:pPr>
        <w:pStyle w:val="FirstParagraph"/>
      </w:pPr>
      <w:r>
        <w:t xml:space="preserve">Como parte de este acuerdo de servicio, el proveedor de servicios es</w:t>
      </w:r>
      <w:r>
        <w:t xml:space="preserve"> </w:t>
      </w:r>
      <w:r>
        <w:t xml:space="preserve">formalmente prohibido acceder a los proponentes pertenecientes al</w:t>
      </w:r>
      <w:r>
        <w:t xml:space="preserve"> </w:t>
      </w:r>
      <w:r>
        <w:t xml:space="preserve">Patrocinador sin autorización previa.Es responsabilidad</w:t>
      </w:r>
      <w:r>
        <w:t xml:space="preserve"> </w:t>
      </w:r>
      <w:r>
        <w:t xml:space="preserve">del patrocinador para proporcionar el acceso necesario al personal de</w:t>
      </w:r>
      <w:r>
        <w:t xml:space="preserve"> </w:t>
      </w:r>
      <w:r>
        <w:t xml:space="preserve">Prestataire, selon les besoins spécifiques de l’hébergement et, le cas</w:t>
      </w:r>
      <w:r>
        <w:t xml:space="preserve"> </w:t>
      </w:r>
      <w:r>
        <w:t xml:space="preserve">échéant, des services professionnels de support, si cette option a été</w:t>
      </w:r>
      <w:r>
        <w:t xml:space="preserve"> </w:t>
      </w:r>
      <w:r>
        <w:t xml:space="preserve">choisie par le COMMANDITAIRE.</w:t>
      </w:r>
    </w:p>
    <w:p>
      <w:pPr>
        <w:pStyle w:val="BodyText"/>
      </w:pPr>
      <w:r>
        <w:t xml:space="preserve">Le COMMANDITAIRE reconnaît que ces accès sont accordés exclusivement</w:t>
      </w:r>
      <w:r>
        <w:t xml:space="preserve"> </w:t>
      </w:r>
      <w:r>
        <w:t xml:space="preserve">pour les besoins liés à la prestation de services convenus, assurant</w:t>
      </w:r>
      <w:r>
        <w:t xml:space="preserve"> </w:t>
      </w:r>
      <w:r>
        <w:t xml:space="preserve">ainsi une gestion sécurisée et conforme aux termes de l'accord.</w:t>
      </w:r>
    </w:p>
    <w:p>
      <w:pPr>
        <w:pStyle w:val="BodyText"/>
      </w:pPr>
      <w:r>
        <w:t xml:space="preserve">L'accès distant par des tiers impliqués dans la prestation de service</w:t>
      </w:r>
      <w:r>
        <w:t xml:space="preserve"> </w:t>
      </w:r>
      <w:r>
        <w:t xml:space="preserve">del proveedor está estrictamente prohibido.En el caso de que un</w:t>
      </w:r>
      <w:r>
        <w:t xml:space="preserve"> </w:t>
      </w:r>
      <w:r>
        <w:t xml:space="preserve">El requisito técnico específico requeriría dicho acceso, esto</w:t>
      </w:r>
      <w:r>
        <w:t xml:space="preserve"> </w:t>
      </w:r>
      <w:r>
        <w:t xml:space="preserve">podría establecerse que después de notificar claramente el</w:t>
      </w:r>
      <w:r>
        <w:t xml:space="preserve"> </w:t>
      </w:r>
      <w:r>
        <w:t xml:space="preserve">Patrocinador, proporcionó una justificación detallada y obtuvo su acuerdo</w:t>
      </w:r>
      <w:r>
        <w:t xml:space="preserve"> </w:t>
      </w:r>
      <w:r>
        <w:t xml:space="preserve">escribiendo.</w:t>
      </w:r>
    </w:p>
    <w:p>
      <w:pPr>
        <w:pStyle w:val="BodyText"/>
      </w:pPr>
      <w:r>
        <w:t xml:space="preserve">Esta medida garantiza el control y la seguridad de los datos de</w:t>
      </w:r>
      <w:r>
        <w:t xml:space="preserve"> </w:t>
      </w:r>
      <w:r>
        <w:t xml:space="preserve">Patrocinador, asegurando que cualquier excepción a la regla sea debidamente</w:t>
      </w:r>
      <w:r>
        <w:t xml:space="preserve"> </w:t>
      </w:r>
      <w:r>
        <w:t xml:space="preserve">autorizado y documentado.</w:t>
      </w:r>
    </w:p>
    <w:bookmarkEnd w:id="36"/>
    <w:bookmarkEnd w:id="37"/>
    <w:bookmarkStart w:id="38" w:name="borrar-datos-al-final-del-contrato"/>
    <w:p>
      <w:pPr>
        <w:pStyle w:val="Heading2"/>
      </w:pPr>
      <w:r>
        <w:t xml:space="preserve">11. Borrar datos al final del contrato</w:t>
      </w:r>
    </w:p>
    <w:p>
      <w:pPr>
        <w:pStyle w:val="FirstParagraph"/>
      </w:pPr>
      <w:r>
        <w:t xml:space="preserve">Al final del contrato, que importa o que se cancele</w:t>
      </w:r>
      <w:r>
        <w:t xml:space="preserve"> </w:t>
      </w:r>
      <w:r>
        <w:t xml:space="preserve">Por cualquier motivo, el proveedor de servicios se compromete a proceder a</w:t>
      </w:r>
      <w:r>
        <w:t xml:space="preserve"> </w:t>
      </w:r>
      <w:r>
        <w:t xml:space="preserve">El borrado seguro de todos los datos del patrocinador, y</w:t>
      </w:r>
      <w:r>
        <w:t xml:space="preserve"> </w:t>
      </w:r>
      <w:r>
        <w:t xml:space="preserve">incluyendo datos técnicos.El proveedor se asegurará</w:t>
      </w:r>
      <w:r>
        <w:t xml:space="preserve"> </w:t>
      </w:r>
      <w:r>
        <w:t xml:space="preserve">comunicar al patrocinador un aviso formal, respetando un período de</w:t>
      </w:r>
      <w:r>
        <w:t xml:space="preserve"> </w:t>
      </w:r>
      <w:r>
        <w:t xml:space="preserve">Veintiún (21) días calendario.Los datos del patrocinador serán</w:t>
      </w:r>
      <w:r>
        <w:t xml:space="preserve"> </w:t>
      </w:r>
      <w:r>
        <w:t xml:space="preserve">luego eliminado dentro de un período máximo de treinta (30) días siguientes</w:t>
      </w:r>
      <w:r>
        <w:t xml:space="preserve"> </w:t>
      </w:r>
      <w:r>
        <w:t xml:space="preserve">Esta notificación.</w:t>
      </w:r>
    </w:p>
    <w:p>
      <w:pPr>
        <w:pStyle w:val="BodyText"/>
      </w:pPr>
      <w:r>
        <w:t xml:space="preserve">Para dar fe de esta eliminación, el proveedor le dará al</w:t>
      </w:r>
      <w:r>
        <w:t xml:space="preserve"> </w:t>
      </w:r>
      <w:r>
        <w:t xml:space="preserve">Patrocinar un certificado que confirma la eliminación de los datos.</w:t>
      </w:r>
    </w:p>
    <w:bookmarkEnd w:id="38"/>
    <w:bookmarkStart w:id="39" w:name="ley-aplicable"/>
    <w:p>
      <w:pPr>
        <w:pStyle w:val="Heading2"/>
      </w:pPr>
      <w:r>
        <w:t xml:space="preserve">12. Ley aplicable</w:t>
      </w:r>
    </w:p>
    <w:p>
      <w:pPr>
        <w:pStyle w:val="FirstParagraph"/>
      </w:pPr>
      <w:r>
        <w:t xml:space="preserve">La ley aplicable para el presente acuerdo de servicio es la ley</w:t>
      </w:r>
      <w:r>
        <w:t xml:space="preserve"> </w:t>
      </w:r>
      <w:r>
        <w:t xml:space="preserve">Francés.</w:t>
      </w:r>
    </w:p>
    <w:p>
      <w:pPr>
        <w:pStyle w:val="BodyText"/>
      </w:pPr>
      <w:r>
        <w:t xml:space="preserve">En caso de apelación del proveedor de servicios, como parte de los servicios prestados</w:t>
      </w:r>
      <w:r>
        <w:t xml:space="preserve"> </w:t>
      </w:r>
      <w:r>
        <w:t xml:space="preserve">al patrocinador, a una empresa de terceros, incluido un subcontratista, de la cual</w:t>
      </w:r>
      <w:r>
        <w:t xml:space="preserve"> </w:t>
      </w:r>
      <w:r>
        <w:t xml:space="preserve">la oficina central, la administración central o la principal</w:t>
      </w:r>
      <w:r>
        <w:t xml:space="preserve"> </w:t>
      </w:r>
      <w:r>
        <w:t xml:space="preserve">El establecimiento se encuentra en un no miembro de la Unión Europea,</w:t>
      </w:r>
      <w:r>
        <w:t xml:space="preserve"> </w:t>
      </w:r>
      <w:r>
        <w:t xml:space="preserve">o quién es propiedad o bajo el control de una tercera empresa parcial</w:t>
      </w:r>
      <w:r>
        <w:t xml:space="preserve"> </w:t>
      </w:r>
      <w:r>
        <w:t xml:space="preserve">Domicilado fuera de la Unión Europea, el proveedor de servicios se compromete a</w:t>
      </w:r>
      <w:r>
        <w:t xml:space="preserve"> </w:t>
      </w:r>
      <w:r>
        <w:t xml:space="preserve">Asegúrese de que dicha empresa tercera no tenga acceso a los datos</w:t>
      </w:r>
      <w:r>
        <w:t xml:space="preserve"> </w:t>
      </w:r>
      <w:r>
        <w:t xml:space="preserve">procesado por el proveedor de servicios.</w:t>
      </w:r>
    </w:p>
    <w:p>
      <w:pPr>
        <w:pStyle w:val="BodyText"/>
      </w:pPr>
      <w:r>
        <w:t xml:space="preserve">Cabe señalar que los datos mencionados que incluyen aquellos confiados para</w:t>
      </w:r>
      <w:r>
        <w:t xml:space="preserve"> </w:t>
      </w:r>
      <w:r>
        <w:t xml:space="preserve">Proveedor del patrocinador, así como todos los datos</w:t>
      </w:r>
      <w:r>
        <w:t xml:space="preserve"> </w:t>
      </w:r>
      <w:r>
        <w:t xml:space="preserve">técnicas como identidades de beneficiarios y</w:t>
      </w:r>
      <w:r>
        <w:t xml:space="preserve"> </w:t>
      </w:r>
      <w:r>
        <w:t xml:space="preserve">Administradores de la infraestructura técnica, los datos manipularon</w:t>
      </w:r>
      <w:r>
        <w:t xml:space="preserve"> </w:t>
      </w:r>
      <w:r>
        <w:t xml:space="preserve">por redes, periódicos de infraestructura técnica,</w:t>
      </w:r>
      <w:r>
        <w:t xml:space="preserve"> </w:t>
      </w:r>
      <w:r>
        <w:t xml:space="preserve">directorio, certificados, configuración de acceso, etc.,</w:t>
      </w:r>
      <w:r>
        <w:t xml:space="preserve"> </w:t>
      </w:r>
      <w:r>
        <w:t xml:space="preserve">que contiene información sobre el patrocinador.</w:t>
      </w:r>
    </w:p>
    <w:p>
      <w:pPr>
        <w:pStyle w:val="BodyText"/>
      </w:pPr>
      <w:r>
        <w:t xml:space="preserve">Para precisión, el concepto de control se define de acuerdo con el II de</w:t>
      </w:r>
      <w:r>
        <w:t xml:space="preserve"> </w:t>
      </w:r>
      <w:r>
        <w:t xml:space="preserve">Artículo L233-3 del Código Comercial.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2025-03-19T16:16:56Z</dcterms:created>
  <dcterms:modified xsi:type="dcterms:W3CDTF">2025-03-19T16:16:56Z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