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** Sommario **</w:t>
      </w:r>
    </w:p>
    <w:p>
      <w:pPr>
        <w:pStyle w:val="Compact"/>
        <w:numPr>
          <w:ilvl w:val="0"/>
          <w:numId w:val="1001"/>
        </w:numPr>
      </w:pPr>
      <w:r>
        <w:t xml:space="preserve">[1.Framework] (#x09af6387e1d2792b8edc09fc15abd136a837db5)</w:t>
      </w:r>
    </w:p>
    <w:p>
      <w:pPr>
        <w:pStyle w:val="Compact"/>
        <w:numPr>
          <w:ilvl w:val="0"/>
          <w:numId w:val="1001"/>
        </w:numPr>
      </w:pPr>
      <w:r>
        <w:t xml:space="preserve">[2.Acronimi] (#xc79d173393c04b42ba8cdf223cca3c0202f4dee)</w:t>
      </w:r>
    </w:p>
    <w:p>
      <w:pPr>
        <w:pStyle w:val="Compact"/>
        <w:numPr>
          <w:ilvl w:val="0"/>
          <w:numId w:val="1001"/>
        </w:numPr>
      </w:pPr>
      <w:r>
        <w:t xml:space="preserve">[3.Glossario] (#x0c9d1d82fdc5fcc3d01a320dd2dd3715a6900b4)</w:t>
      </w:r>
    </w:p>
    <w:p>
      <w:pPr>
        <w:pStyle w:val="Compact"/>
        <w:numPr>
          <w:ilvl w:val="0"/>
          <w:numId w:val="1001"/>
        </w:numPr>
      </w:pPr>
      <w:r>
        <w:t xml:space="preserve">[4.Oggetto dell’accordo di servizio PaaS di</w:t>
      </w:r>
      <w:r>
        <w:t xml:space="preserve"> </w:t>
      </w:r>
      <w:r>
        <w:t xml:space="preserve">Provider] (#x23c3c3767539f9e69cc7cbf5af8aa8c1b6ad7)</w:t>
      </w:r>
    </w:p>
    <w:p>
      <w:pPr>
        <w:pStyle w:val="Compact"/>
        <w:numPr>
          <w:ilvl w:val="0"/>
          <w:numId w:val="1001"/>
        </w:numPr>
      </w:pPr>
      <w:r>
        <w:t xml:space="preserve">[5.Evoluzione dell’accordo di servizio</w:t>
      </w:r>
      <w:r>
        <w:t xml:space="preserve"> </w:t>
      </w:r>
      <w:r>
        <w:t xml:space="preserve">PAAS] (#xa7161677dcf9a35d02c20807040326b39d55881)</w:t>
      </w:r>
    </w:p>
    <w:p>
      <w:pPr>
        <w:pStyle w:val="Compact"/>
        <w:numPr>
          <w:ilvl w:val="0"/>
          <w:numId w:val="1001"/>
        </w:numPr>
      </w:pPr>
      <w:r>
        <w:t xml:space="preserve">[6.Audit] (#x910e2801262de94af71544b8fb509cc70cc79a)</w:t>
      </w:r>
    </w:p>
    <w:p>
      <w:pPr>
        <w:pStyle w:val="Compact"/>
        <w:numPr>
          <w:ilvl w:val="0"/>
          <w:numId w:val="1001"/>
        </w:numPr>
      </w:pPr>
      <w:r>
        <w:t xml:space="preserve">[7.Descrizione del servizio] (#x3d12a6c93683f0122f5f9a8e21e7c12fc92490b)</w:t>
      </w:r>
    </w:p>
    <w:p>
      <w:pPr>
        <w:pStyle w:val="Compact"/>
        <w:numPr>
          <w:ilvl w:val="0"/>
          <w:numId w:val="1001"/>
        </w:numPr>
      </w:pPr>
      <w:r>
        <w:t xml:space="preserve">[8.Implementazione di</w:t>
      </w:r>
      <w:r>
        <w:t xml:space="preserve"> </w:t>
      </w:r>
      <w:r>
        <w:t xml:space="preserve">Servizio] (#xc98fb6da582d483e300add6a80df6e3eb76498a)</w:t>
      </w:r>
    </w:p>
    <w:p>
      <w:pPr>
        <w:pStyle w:val="Compact"/>
        <w:numPr>
          <w:ilvl w:val="0"/>
          <w:numId w:val="1001"/>
        </w:numPr>
      </w:pPr>
      <w:r>
        <w:t xml:space="preserve">[8.1.Descrizione dei componenti</w:t>
      </w:r>
      <w:r>
        <w:t xml:space="preserve"> </w:t>
      </w:r>
      <w:r>
        <w:t xml:space="preserve">Tecniche] (#xa61c340e3fdf14082cef411d3a913fc4bdeeb4c)</w:t>
      </w:r>
    </w:p>
    <w:p>
      <w:pPr>
        <w:pStyle w:val="Compact"/>
        <w:numPr>
          <w:ilvl w:val="0"/>
          <w:numId w:val="1001"/>
        </w:numPr>
      </w:pPr>
      <w:r>
        <w:t xml:space="preserve">[8.1.1.Piattaforma di servizio Redhat</w:t>
      </w:r>
      <w:r>
        <w:t xml:space="preserve"> </w:t>
      </w:r>
      <w:r>
        <w:t xml:space="preserve">OpenShift] (#xf81d22ed0abca8eab163c160107fa2228901d82c)</w:t>
      </w:r>
    </w:p>
    <w:p>
      <w:pPr>
        <w:pStyle w:val="Compact"/>
        <w:numPr>
          <w:ilvl w:val="0"/>
          <w:numId w:val="1001"/>
        </w:numPr>
      </w:pPr>
      <w:r>
        <w:t xml:space="preserve">[8.1.2.Infrastruttura software di pilotaggio della piattaforma</w:t>
      </w:r>
      <w:r>
        <w:t xml:space="preserve"> </w:t>
      </w:r>
      <w:r>
        <w:t xml:space="preserve">Redhat OpenShift] (#xf11c2e6a431ae11852fe3129245b4d0fd0747b)</w:t>
      </w:r>
    </w:p>
    <w:p>
      <w:pPr>
        <w:pStyle w:val="Compact"/>
        <w:numPr>
          <w:ilvl w:val="0"/>
          <w:numId w:val="1001"/>
        </w:numPr>
      </w:pPr>
      <w:r>
        <w:t xml:space="preserve">[8.1.3.Infrastruttura di backup</w:t>
      </w:r>
      <w:r>
        <w:t xml:space="preserve"> </w:t>
      </w:r>
      <w:r>
        <w:t xml:space="preserve">Associato] (#x77B1112FA2C2A53EB0CF09B416962164B77B437)</w:t>
      </w:r>
    </w:p>
    <w:p>
      <w:pPr>
        <w:pStyle w:val="Compact"/>
        <w:numPr>
          <w:ilvl w:val="0"/>
          <w:numId w:val="1001"/>
        </w:numPr>
      </w:pPr>
      <w:r>
        <w:t xml:space="preserve">[8.1.4.Implementazione di attività o attività o</w:t>
      </w:r>
      <w:r>
        <w:t xml:space="preserve"> </w:t>
      </w:r>
      <w:r>
        <w:t xml:space="preserve">Continuità di attività] (#xae1394210f1c9bee4293a93160d2d1cc70ebdd)</w:t>
      </w:r>
    </w:p>
    <w:p>
      <w:pPr>
        <w:pStyle w:val="Compact"/>
        <w:numPr>
          <w:ilvl w:val="0"/>
          <w:numId w:val="1001"/>
        </w:numPr>
      </w:pPr>
      <w:r>
        <w:t xml:space="preserve">[9.Impegni e livelli di</w:t>
      </w:r>
      <w:r>
        <w:t xml:space="preserve"> </w:t>
      </w:r>
      <w:r>
        <w:t xml:space="preserve">Servizi] (#xad2b4ae071a52a99b502c4e84cbba3f15ac78f8)</w:t>
      </w:r>
    </w:p>
    <w:p>
      <w:pPr>
        <w:pStyle w:val="Compact"/>
        <w:numPr>
          <w:ilvl w:val="0"/>
          <w:numId w:val="1001"/>
        </w:numPr>
      </w:pPr>
      <w:r>
        <w:t xml:space="preserve">[9.1.Redhat Platform Displability Impements</w:t>
      </w:r>
      <w:r>
        <w:t xml:space="preserve"> </w:t>
      </w:r>
      <w:r>
        <w:t xml:space="preserve">OpenShift] (#x273341276df81e9f6fa2000ac84216560e59fa)</w:t>
      </w:r>
    </w:p>
    <w:p>
      <w:pPr>
        <w:pStyle w:val="Compact"/>
        <w:numPr>
          <w:ilvl w:val="0"/>
          <w:numId w:val="1001"/>
        </w:numPr>
      </w:pPr>
      <w:r>
        <w:t xml:space="preserve">[10.Modello di responsabilità condiviso</w:t>
      </w:r>
      <w:r>
        <w:t xml:space="preserve"> </w:t>
      </w:r>
      <w:r>
        <w:t xml:space="preserve">Applicabile] (#xa90d4e180ca2ae1d92e4e4cf00f20aca5061eac)</w:t>
      </w:r>
    </w:p>
    <w:p>
      <w:pPr>
        <w:pStyle w:val="Compact"/>
        <w:numPr>
          <w:ilvl w:val="0"/>
          <w:numId w:val="1001"/>
        </w:numPr>
      </w:pPr>
      <w:r>
        <w:t xml:space="preserve">[10.1.Responsabilità e obblighi di</w:t>
      </w:r>
      <w:r>
        <w:t xml:space="preserve"> </w:t>
      </w:r>
      <w:r>
        <w:t xml:space="preserve">Provider] (#xe5cf73850ea2189ab60f41560bf52e97d3019f9)</w:t>
      </w:r>
    </w:p>
    <w:p>
      <w:pPr>
        <w:pStyle w:val="Compact"/>
        <w:numPr>
          <w:ilvl w:val="0"/>
          <w:numId w:val="1001"/>
        </w:numPr>
      </w:pPr>
      <w:r>
        <w:t xml:space="preserve">[10.2.Limitazione della responsabilità per</w:t>
      </w:r>
      <w:r>
        <w:t xml:space="preserve"> </w:t>
      </w:r>
      <w:r>
        <w:t xml:space="preserve">Provider] (#x8856c8f606130116944398b244484722823c023c)</w:t>
      </w:r>
    </w:p>
    <w:p>
      <w:pPr>
        <w:pStyle w:val="Compact"/>
        <w:numPr>
          <w:ilvl w:val="0"/>
          <w:numId w:val="1001"/>
        </w:numPr>
      </w:pPr>
      <w:r>
        <w:t xml:space="preserve">[10.3.Limitazione</w:t>
      </w:r>
      <w:r>
        <w:t xml:space="preserve"> </w:t>
      </w:r>
      <w:r>
        <w:t xml:space="preserve">Accesso] (#x902763258f1242326933ce46892d3f549e73e30)</w:t>
      </w:r>
    </w:p>
    <w:p>
      <w:pPr>
        <w:pStyle w:val="Compact"/>
        <w:numPr>
          <w:ilvl w:val="0"/>
          <w:numId w:val="1001"/>
        </w:numPr>
      </w:pPr>
      <w:r>
        <w:t xml:space="preserve">[11.Cancellare i dati alla fine di</w:t>
      </w:r>
      <w:r>
        <w:t xml:space="preserve"> </w:t>
      </w:r>
      <w:r>
        <w:t xml:space="preserve">contratto] (#xbe642a80027ce4ad8888c932e98b8661c2a0d3a6)</w:t>
      </w:r>
    </w:p>
    <w:p>
      <w:pPr>
        <w:pStyle w:val="Compact"/>
        <w:numPr>
          <w:ilvl w:val="0"/>
          <w:numId w:val="1001"/>
        </w:numPr>
      </w:pPr>
      <w:hyperlink w:anchor="Xa219184d62eb90dfeec612801fd05c5d816c331">
        <w:r>
          <w:rPr>
            <w:rStyle w:val="Hyperlink"/>
          </w:rPr>
          <w:t xml:space="preserve">12. Droit applicable</w:t>
        </w:r>
      </w:hyperlink>
    </w:p>
    <w:bookmarkStart w:id="20" w:name="cadre"/>
    <w:p>
      <w:pPr>
        <w:pStyle w:val="Heading2"/>
      </w:pPr>
      <w:r>
        <w:t xml:space="preserve">1. Cadre</w:t>
      </w:r>
    </w:p>
    <w:tbl>
      <w:tblPr>
        <w:tblStyle w:val="Table"/>
        <w:tblW w:type="pct" w:w="4865"/>
        <w:tblLayout w:type="fixed"/>
        <w:tblLook w:firstRow="0" w:lastRow="0" w:firstColumn="0" w:lastColumn="0" w:noHBand="0" w:noVBand="0" w:val="0000"/>
      </w:tblPr>
      <w:tblGrid>
        <w:gridCol w:w="2354"/>
        <w:gridCol w:w="5351"/>
      </w:tblGrid>
      <w:tr>
        <w:tc>
          <w:tcPr/>
          <w:p>
            <w:pPr>
              <w:pStyle w:val="Compact"/>
              <w:jc w:val="left"/>
            </w:pPr>
            <w:r>
              <w:t xml:space="preserve">Référence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CT.AM.JUR.ANX.PAAS 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janvier 2025</w:t>
            </w:r>
          </w:p>
        </w:tc>
      </w:tr>
    </w:tbl>
    <w:bookmarkEnd w:id="20"/>
    <w:bookmarkStart w:id="21" w:name="acronymes"/>
    <w:p>
      <w:pPr>
        <w:pStyle w:val="Heading2"/>
      </w:pPr>
      <w:r>
        <w:t xml:space="preserve">2. Acronymes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Acronyme 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CAB CAB CAMPIONE ADVISOZIONE COMITATO CONSULITO SULLE CAMBIAMENTI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Database di gestione della configurazione CMDB - database di gestione</w:t>
            </w:r>
            <w:r>
              <w:t xml:space="preserve"> </w:t>
            </w:r>
            <w:r>
              <w:t xml:space="preserve">configurazioni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Comitato direttivo del copila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Comitato strategico Costrat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DB Database (database)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Piano di ripristino di emergenza DRP (Piano di recupero dell’attività)</w:t>
            </w:r>
            <w:r>
              <w:t xml:space="preserve"> </w:t>
            </w:r>
            <w:r>
              <w:t xml:space="preserve">Garanzia del tempo di intervento GTI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Garanzia del tempo di risoluzione GTR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Garanzia GTE sul tempo di altezza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Hypervisor del sistema operativo che consente l’esecuzione di VM su a</w:t>
            </w:r>
            <w:r>
              <w:t xml:space="preserve"> </w:t>
            </w:r>
            <w:r>
              <w:t xml:space="preserve">lama di calcolo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Biblioteca di infrastrutture di tecnologia dell’informazione ITIL - Buone pratiche</w:t>
            </w:r>
            <w:r>
              <w:t xml:space="preserve"> </w:t>
            </w:r>
            <w:r>
              <w:t xml:space="preserve">Per la gestione dei sistemi di informazione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Infrastruttura IaaS come servizio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MCO Mantenimento in condizioni operative</w:t>
            </w:r>
            <w:r>
              <w:t xml:space="preserve"> </w:t>
            </w:r>
            <w:r>
              <w:t xml:space="preserve">MOA Project Management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MOE Project Management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Sistema operativo del sistema operativo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Piano assicurativo di qualità PAQ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Piattaforma PaaS come servizio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Servizio SDM Delivery Manager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Richiesta RFC di modifica - Richiesta di modifica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Regolamento sui dati della protezione generale (personale) del GDPR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Punto obiettivo di recupero RPO - freschezza dei dati ripristinati in</w:t>
            </w:r>
            <w:r>
              <w:t xml:space="preserve"> </w:t>
            </w:r>
            <w:r>
              <w:t xml:space="preserve">Caso di disastro</w:t>
            </w:r>
            <w:r>
              <w:t xml:space="preserve"> </w:t>
            </w:r>
            <w:r>
              <w:t xml:space="preserve">Obiettivo del tempo di recupero RTO - Scadenza per il ripristino del servizio</w:t>
            </w:r>
            <w:r>
              <w:t xml:space="preserve"> </w:t>
            </w:r>
            <w:r>
              <w:t xml:space="preserve">Caso di disastro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Accordo sul livello di servizio SLA - Accordo sul livello di servizio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Unità di lavoro UO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Convalida VABF di attitudine per un corretto funzionamento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Convalida VAB di attitudine per una buona sfruttabilità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VM Virtual Machine (Virtual Machine)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Convalida VSR di servizio regolare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SNC Secnumcloud</w:t>
            </w:r>
          </w:p>
        </w:tc>
      </w:tr>
    </w:tbl>
    <w:bookmarkEnd w:id="21"/>
    <w:bookmarkStart w:id="22" w:name="glossario"/>
    <w:p>
      <w:pPr>
        <w:pStyle w:val="Heading2"/>
      </w:pPr>
      <w:r>
        <w:t xml:space="preserve">3. Glossario</w:t>
      </w:r>
    </w:p>
    <w:p>
      <w:pPr>
        <w:pStyle w:val="FirstParagraph"/>
      </w:pPr>
      <w:r>
        <w:t xml:space="preserve">Le seguenti espressioni utilizzate in questo documento saranno</w:t>
      </w:r>
      <w:r>
        <w:t xml:space="preserve"> </w:t>
      </w:r>
      <w:r>
        <w:t xml:space="preserve">interpretato secondo le definizioni loro assegnate</w:t>
      </w:r>
      <w:r>
        <w:t xml:space="preserve"> </w:t>
      </w:r>
      <w:r>
        <w:t xml:space="preserve">sotto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Definizione dell’espressione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“Secure Temple " designa il servizio SecnumCloud qualificato IAAS, proposto da</w:t>
            </w:r>
            <w:r>
              <w:t xml:space="preserve"> </w:t>
            </w:r>
            <w:r>
              <w:t xml:space="preserve">Cloud Temple, come definito nel certificato</w:t>
            </w:r>
            <w:r>
              <w:t xml:space="preserve"> </w:t>
            </w:r>
            <w:r>
              <w:t xml:space="preserve">Disponibile sul sito Web ANSSI e fornito nell’Appendice a</w:t>
            </w:r>
            <w:r>
              <w:t xml:space="preserve"> </w:t>
            </w:r>
            <w:r>
              <w:t xml:space="preserve">Questo accordo di servizio.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Regione A  “regione " nel contesto del cloud computing designa</w:t>
            </w:r>
            <w:r>
              <w:t xml:space="preserve"> </w:t>
            </w:r>
            <w:r>
              <w:t xml:space="preserve">un insieme geograficamente delimitato di zone di</w:t>
            </w:r>
            <w:r>
              <w:t xml:space="preserve"> </w:t>
            </w:r>
            <w:r>
              <w:t xml:space="preserve">Disponibilità del cloud, fornendo servizi di rete,</w:t>
            </w:r>
            <w:r>
              <w:t xml:space="preserve"> </w:t>
            </w:r>
            <w:r>
              <w:t xml:space="preserve">Calcolo e conservazione per ottimizzare la latenza,</w:t>
            </w:r>
            <w:r>
              <w:t xml:space="preserve"> </w:t>
            </w:r>
            <w:r>
              <w:t xml:space="preserve">Performance locali e conformità normativa.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Zona una sezione specifica e isolata dall’infrastruttura di</w:t>
            </w:r>
            <w:r>
              <w:t xml:space="preserve"> </w:t>
            </w:r>
            <w:r>
              <w:t xml:space="preserve">Disponibilità (AZ) (disponibilità cloud computing, progettato per garantire un’alta disponibilità</w:t>
            </w:r>
            <w:r>
              <w:t xml:space="preserve"> </w:t>
            </w:r>
            <w:r>
              <w:t xml:space="preserve">zona) e la resilienza dei servizi per distribuzione</w:t>
            </w:r>
            <w:r>
              <w:t xml:space="preserve"> </w:t>
            </w:r>
            <w:r>
              <w:t xml:space="preserve">Risorse geografiche.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Tenendo un’istanza isolata riservata a un utente o un gruppo</w:t>
            </w:r>
            <w:r>
              <w:t xml:space="preserve"> </w:t>
            </w:r>
            <w:r>
              <w:t xml:space="preserve">utenti, condividere un’infrastruttura comune tutto</w:t>
            </w:r>
            <w:r>
              <w:t xml:space="preserve"> </w:t>
            </w:r>
            <w:r>
              <w:t xml:space="preserve">mantenendo l’indipendenza e la sicurezza dei dati e</w:t>
            </w:r>
            <w:r>
              <w:t xml:space="preserve"> </w:t>
            </w:r>
            <w:r>
              <w:t xml:space="preserve">applicazioni.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Definizione dell’espressione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Incidente an  “incidente " designa qualsiasi evento imprevisto che</w:t>
            </w:r>
            <w:r>
              <w:t xml:space="preserve"> </w:t>
            </w:r>
            <w:r>
              <w:t xml:space="preserve">interrompe il normale funzionamento di un sistema o</w:t>
            </w:r>
            <w:r>
              <w:t xml:space="preserve"> </w:t>
            </w:r>
            <w:r>
              <w:t xml:space="preserve">compromette la sicurezza dei dati.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Problema a  “problema " è una causa fondamentale di uno o</w:t>
            </w:r>
            <w:r>
              <w:t xml:space="preserve"> </w:t>
            </w:r>
            <w:r>
              <w:t xml:space="preserve">Diversi incidenti, identificati o sospettati, che richiedono</w:t>
            </w:r>
            <w:r>
              <w:t xml:space="preserve"> </w:t>
            </w:r>
            <w:r>
              <w:t xml:space="preserve">Un’analisi e una risoluzione per prevenire la sua ricorrenza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Modificare un  “modifica " indica qualsiasi aggiunta, una modifica o</w:t>
            </w:r>
            <w:r>
              <w:t xml:space="preserve"> </w:t>
            </w:r>
            <w:r>
              <w:t xml:space="preserve">delezione che ha un impatto sul servizio, essendo stato autorizzato,</w:t>
            </w:r>
            <w:r>
              <w:t xml:space="preserve"> </w:t>
            </w:r>
            <w:r>
              <w:t xml:space="preserve">planifié ou pris en charge.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Changement Un "changement standard" est un changement faisant</w:t>
            </w:r>
            <w:r>
              <w:t xml:space="preserve"> </w:t>
            </w:r>
            <w:r>
              <w:t xml:space="preserve">standard l’objet d’une procédure, dont les modalités de mise en</w:t>
            </w:r>
            <w:r>
              <w:t xml:space="preserve"> </w:t>
            </w:r>
            <w:r>
              <w:t xml:space="preserve">production et les impacts (y compris financiers) sont</w:t>
            </w:r>
            <w:r>
              <w:t xml:space="preserve"> </w:t>
            </w:r>
            <w:r>
              <w:t xml:space="preserve">connus et acceptés à l’avance par les Parties. Il est</w:t>
            </w:r>
            <w:r>
              <w:t xml:space="preserve"> </w:t>
            </w:r>
            <w:r>
              <w:t xml:space="preserve">alors intégré au catalogue des changements standards, et</w:t>
            </w:r>
            <w:r>
              <w:t xml:space="preserve"> </w:t>
            </w:r>
            <w:r>
              <w:t xml:space="preserve">peut selon les cas avoir une GTI et une GTR.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Azione (e) della realizzazione del cambiamento</w:t>
            </w:r>
            <w:r>
              <w:t xml:space="preserve"> </w:t>
            </w:r>
            <w:r>
              <w:t xml:space="preserve">produzione quando è approvato (il cambiamento, nel senso di Itil,</w:t>
            </w:r>
            <w:r>
              <w:t xml:space="preserve"> </w:t>
            </w:r>
            <w:r>
              <w:t xml:space="preserve">Solo riguardo alla gestione del cambiamento e non al suo</w:t>
            </w:r>
            <w:r>
              <w:t xml:space="preserve"> </w:t>
            </w:r>
            <w:r>
              <w:t xml:space="preserve">realizzazione/concretizzazione).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Richiesta di una richiesta di sviluppo soggetta a una procedura, di cui</w:t>
            </w:r>
            <w:r>
              <w:t xml:space="preserve"> </w:t>
            </w:r>
            <w:r>
              <w:t xml:space="preserve">Recisioni del servizio: i) non modifica il cmdb, ii) la modalità</w:t>
            </w:r>
            <w:r>
              <w:t xml:space="preserve"> </w:t>
            </w:r>
            <w:r>
              <w:t xml:space="preserve">operativi, costi e rischi sono noti e</w:t>
            </w:r>
            <w:r>
              <w:t xml:space="preserve"> </w:t>
            </w:r>
            <w:r>
              <w:t xml:space="preserve">accettato in anticipo e non richiedere</w:t>
            </w:r>
            <w:r>
              <w:t xml:space="preserve"> </w:t>
            </w:r>
            <w:r>
              <w:t xml:space="preserve">restituzione posteriore specifica iii) La realizzazione è</w:t>
            </w:r>
            <w:r>
              <w:t xml:space="preserve"> </w:t>
            </w:r>
            <w:r>
              <w:t xml:space="preserve">soggetto a un accordo a livello di servizio e incluso in</w:t>
            </w:r>
            <w:r>
              <w:t xml:space="preserve"> </w:t>
            </w:r>
            <w:r>
              <w:t xml:space="preserve">la commissione del contratto quando viene effettuata</w:t>
            </w:r>
            <w:r>
              <w:t xml:space="preserve"> </w:t>
            </w:r>
            <w:r>
              <w:t xml:space="preserve">Orario di lavoro e giorni di lavoro.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L’elemento di un  “Element di configurazione " è un componente</w:t>
            </w:r>
            <w:r>
              <w:t xml:space="preserve"> </w:t>
            </w:r>
            <w:r>
              <w:t xml:space="preserve">configurazione identificabile del sistema informativo, come a</w:t>
            </w:r>
            <w:r>
              <w:t xml:space="preserve"> </w:t>
            </w:r>
            <w:r>
              <w:t xml:space="preserve">software, hardware o documento, soggetto a gestione</w:t>
            </w:r>
            <w:r>
              <w:t xml:space="preserve"> </w:t>
            </w:r>
            <w:r>
              <w:t xml:space="preserve">Come parte della gestione dei servizi 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Servizio A  </w:t>
            </w:r>
            <w:r>
              <w:t xml:space="preserve">“Service " designa il servizio SecnumCloud qualificato,</w:t>
            </w:r>
            <w:r>
              <w:t xml:space="preserve"> </w:t>
            </w:r>
            <w:r>
              <w:t xml:space="preserve">rilasciato allo sponsor dal fornitore di servizi, come</w:t>
            </w:r>
            <w:r>
              <w:t xml:space="preserve"> </w:t>
            </w:r>
            <w:r>
              <w:t xml:space="preserve">descritto nella sezione”</w:t>
            </w:r>
            <w:r>
              <w:t xml:space="preserve">Descrizione del servizio” del</w:t>
            </w:r>
            <w:r>
              <w:t xml:space="preserve"> </w:t>
            </w:r>
            <w:r>
              <w:t xml:space="preserve">Questo accordo di servizio.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Sera un  “evento " è un evento rilevabile o</w:t>
            </w:r>
            <w:r>
              <w:t xml:space="preserve"> </w:t>
            </w:r>
            <w:r>
              <w:t xml:space="preserve">identificabile che può avere un importante per la gestione</w:t>
            </w:r>
            <w:r>
              <w:t xml:space="preserve"> </w:t>
            </w:r>
            <w:r>
              <w:t xml:space="preserve">servizio.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Sinister A</w:t>
            </w:r>
            <w:r>
              <w:t xml:space="preserve"> </w:t>
            </w:r>
            <w:r>
              <w:t xml:space="preserve">“Disaster”</w:t>
            </w:r>
            <w:r>
              <w:t xml:space="preserve"> </w:t>
            </w:r>
            <w:r>
              <w:t xml:space="preserve">designa un serio evento di origine</w:t>
            </w:r>
            <w:r>
              <w:t xml:space="preserve"> </w:t>
            </w:r>
            <w:r>
              <w:t xml:space="preserve">naturale o umano, accidentale o intenzionale,</w:t>
            </w:r>
            <w:r>
              <w:t xml:space="preserve"> </w:t>
            </w:r>
            <w:r>
              <w:t xml:space="preserve">causando perdite significative e danni al</w:t>
            </w:r>
            <w:r>
              <w:t xml:space="preserve"> </w:t>
            </w:r>
            <w:r>
              <w:t xml:space="preserve">Disastro.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Accordo di questo documento, istituito nel quadro di un contratto</w:t>
            </w:r>
            <w:r>
              <w:t xml:space="preserve"> </w:t>
            </w:r>
            <w:r>
              <w:t xml:space="preserve">servizio specifico o condizioni generali di vendita e</w:t>
            </w:r>
            <w:r>
              <w:t xml:space="preserve"> </w:t>
            </w:r>
            <w:r>
              <w:t xml:space="preserve">di utilizzo (CGVU), in conformità con</w:t>
            </w:r>
            <w:r>
              <w:t xml:space="preserve"> </w:t>
            </w:r>
            <w:r>
              <w:t xml:space="preserve">Requisiti di Secnumcloud SEP.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Capacità di disponibilità per garantire la disponibilità e la manutenzione di</w:t>
            </w:r>
            <w:r>
              <w:t xml:space="preserve"> </w:t>
            </w:r>
            <w:r>
              <w:t xml:space="preserve">prestazioni ottimali di un servizio, in conformità con</w:t>
            </w:r>
            <w:r>
              <w:t xml:space="preserve"> </w:t>
            </w:r>
            <w:r>
              <w:t xml:space="preserve">criteri e impegni definiti in</w:t>
            </w:r>
            <w:r>
              <w:t xml:space="preserve"> </w:t>
            </w:r>
            <w:r>
              <w:t xml:space="preserve">Livello di servizio (SLA)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Sorveglianza di supervisione di un sistema informativo o a</w:t>
            </w:r>
            <w:r>
              <w:t xml:space="preserve"> </w:t>
            </w:r>
            <w:r>
              <w:t xml:space="preserve">Servizio, che coinvolge la raccolta di vari dati</w:t>
            </w:r>
            <w:r>
              <w:t xml:space="preserve"> </w:t>
            </w:r>
            <w:r>
              <w:t xml:space="preserve">come misure e allarmi.Questa attività è limitata a</w:t>
            </w:r>
            <w:r>
              <w:t xml:space="preserve"> </w:t>
            </w:r>
            <w:r>
              <w:t xml:space="preserve">osservazione e seguire -up, senza intervenire direttamente</w:t>
            </w:r>
            <w:r>
              <w:t xml:space="preserve"> </w:t>
            </w:r>
            <w:r>
              <w:t xml:space="preserve">Sugli elementi monitorati, una prerogativa che</w:t>
            </w:r>
            <w:r>
              <w:t xml:space="preserve"> </w:t>
            </w:r>
            <w:r>
              <w:t xml:space="preserve">appartiene alle operazioni amministrative.</w:t>
            </w:r>
          </w:p>
        </w:tc>
      </w:tr>
    </w:tbl>
    <w:bookmarkEnd w:id="22"/>
    <w:bookmarkStart w:id="23" w:name="Xe010ed08adcb04f566b58f8510d64d8eec976a1"/>
    <w:p>
      <w:pPr>
        <w:pStyle w:val="Heading2"/>
      </w:pPr>
      <w:r>
        <w:t xml:space="preserve">4. Oggetto dell’accordo di servizio PAAS del fornitore</w:t>
      </w:r>
    </w:p>
    <w:p>
      <w:pPr>
        <w:pStyle w:val="FirstParagraph"/>
      </w:pPr>
      <w:r>
        <w:t xml:space="preserve">La présente Convention de Services établit les termes et conditions</w:t>
      </w:r>
      <w:r>
        <w:t xml:space="preserve"> </w:t>
      </w:r>
      <w:r>
        <w:t xml:space="preserve">selon lesquels le Prestataire s'engage à délivrer au COMMANDITAIRE une</w:t>
      </w:r>
      <w:r>
        <w:t xml:space="preserve"> </w:t>
      </w:r>
      <w:r>
        <w:t xml:space="preserve">infrastructure conforme aux spécifications de l'offre « Platform as a</w:t>
      </w:r>
      <w:r>
        <w:t xml:space="preserve"> </w:t>
      </w:r>
      <w:r>
        <w:t xml:space="preserve">Service – PaaS », dûment qualifiée SecNumCloud.</w:t>
      </w:r>
    </w:p>
    <w:p>
      <w:pPr>
        <w:pStyle w:val="BodyText"/>
      </w:pPr>
      <w:r>
        <w:t xml:space="preserve">Objet de la Convention de Services :</w:t>
      </w:r>
    </w:p>
    <w:p>
      <w:pPr>
        <w:pStyle w:val="Compact"/>
        <w:numPr>
          <w:ilvl w:val="0"/>
          <w:numId w:val="1002"/>
        </w:numPr>
      </w:pPr>
      <w:r>
        <w:t xml:space="preserve">Préciser les exigences de performance attendues par le COMMANDITAIRE</w:t>
      </w:r>
      <w:r>
        <w:t xml:space="preserve"> </w:t>
      </w:r>
      <w:r>
        <w:t xml:space="preserve">en termes de fonctionnalité et de fiabilité de l'infrastructure.</w:t>
      </w:r>
    </w:p>
    <w:p>
      <w:pPr>
        <w:pStyle w:val="Compact"/>
        <w:numPr>
          <w:ilvl w:val="0"/>
          <w:numId w:val="1002"/>
        </w:numPr>
      </w:pPr>
      <w:r>
        <w:t xml:space="preserve">Indicare gli obblighi del fornitore al fine di soddisfare il</w:t>
      </w:r>
      <w:r>
        <w:t xml:space="preserve"> </w:t>
      </w:r>
      <w:r>
        <w:t xml:space="preserve">livelli di servizio concordati.</w:t>
      </w:r>
    </w:p>
    <w:p>
      <w:pPr>
        <w:pStyle w:val="Compact"/>
        <w:numPr>
          <w:ilvl w:val="0"/>
          <w:numId w:val="1002"/>
        </w:numPr>
      </w:pPr>
      <w:r>
        <w:t xml:space="preserve">Identificare gli standard di regolamentazione applicabili specificamente a</w:t>
      </w:r>
      <w:r>
        <w:t xml:space="preserve"> </w:t>
      </w:r>
      <w:r>
        <w:t xml:space="preserve">L’infrastruttura proposta.</w:t>
      </w:r>
    </w:p>
    <w:p>
      <w:pPr>
        <w:pStyle w:val="Compact"/>
        <w:numPr>
          <w:ilvl w:val="0"/>
          <w:numId w:val="1002"/>
        </w:numPr>
      </w:pPr>
      <w:r>
        <w:t xml:space="preserve">Garantire l’uniformità e l’integrità nella valutazione del</w:t>
      </w:r>
      <w:r>
        <w:t xml:space="preserve"> </w:t>
      </w:r>
      <w:r>
        <w:t xml:space="preserve">Qualità dei servizi resi.</w:t>
      </w:r>
    </w:p>
    <w:p>
      <w:pPr>
        <w:pStyle w:val="Compact"/>
        <w:numPr>
          <w:ilvl w:val="0"/>
          <w:numId w:val="1002"/>
        </w:numPr>
      </w:pPr>
      <w:r>
        <w:t xml:space="preserve">Garantire l’eccellenza dei servizi forniti, valutata con le medie</w:t>
      </w:r>
      <w:r>
        <w:t xml:space="preserve"> </w:t>
      </w:r>
      <w:r>
        <w:t xml:space="preserve">Indicatori quantitativi di prestazione.</w:t>
      </w:r>
    </w:p>
    <w:p>
      <w:pPr>
        <w:pStyle w:val="FirstParagraph"/>
      </w:pPr>
      <w:r>
        <w:t xml:space="preserve">È stato stabilito che, nell’ipotesi in cui il fornitore sarebbe visto</w:t>
      </w:r>
      <w:r>
        <w:t xml:space="preserve"> </w:t>
      </w:r>
      <w:r>
        <w:t xml:space="preserve">ritirare la sua qualifica Secnumcloud, questo contratto può essere</w:t>
      </w:r>
      <w:r>
        <w:t xml:space="preserve"> </w:t>
      </w:r>
      <w:r>
        <w:t xml:space="preserve">terminato automaticamente, senza incorrere in sanzioni, dal</w:t>
      </w:r>
      <w:r>
        <w:t xml:space="preserve"> </w:t>
      </w:r>
      <w:r>
        <w:t xml:space="preserve">Sponsor.In tale possibilità, il fornitore di servizi si impegna</w:t>
      </w:r>
      <w:r>
        <w:t xml:space="preserve"> </w:t>
      </w:r>
      <w:r>
        <w:t xml:space="preserve">informare lo sponsor di questa dequalificazione inviando a</w:t>
      </w:r>
      <w:r>
        <w:t xml:space="preserve"> </w:t>
      </w:r>
      <w:r>
        <w:t xml:space="preserve">Notifica ufficiale, tramite una lettera registrata con richiesta</w:t>
      </w:r>
      <w:r>
        <w:t xml:space="preserve"> </w:t>
      </w:r>
      <w:r>
        <w:t xml:space="preserve">di ricevuta.</w:t>
      </w:r>
    </w:p>
    <w:p>
      <w:pPr>
        <w:pStyle w:val="BodyText"/>
      </w:pPr>
      <w:r>
        <w:t xml:space="preserve">Va notato che una modifica o una regolazione del</w:t>
      </w:r>
      <w:r>
        <w:t xml:space="preserve"> </w:t>
      </w:r>
      <w:r>
        <w:t xml:space="preserve">la qualifica secnumcloud non sarà interpretata come una revoca di</w:t>
      </w:r>
      <w:r>
        <w:t xml:space="preserve"> </w:t>
      </w:r>
      <w:r>
        <w:t xml:space="preserve">qualificazione iniziale.</w:t>
      </w:r>
    </w:p>
    <w:bookmarkEnd w:id="23"/>
    <w:bookmarkStart w:id="24" w:name="evoluzione-dellaccordo-di-servizio-paas"/>
    <w:p>
      <w:pPr>
        <w:pStyle w:val="Heading2"/>
      </w:pPr>
      <w:r>
        <w:t xml:space="preserve">5. Evoluzione dell’accordo di servizio PAAS</w:t>
      </w:r>
    </w:p>
    <w:p>
      <w:pPr>
        <w:pStyle w:val="FirstParagraph"/>
      </w:pPr>
      <w:r>
        <w:t xml:space="preserve">Modifiche o aggiunte a questo accordo di servizio</w:t>
      </w:r>
      <w:r>
        <w:t xml:space="preserve"> </w:t>
      </w:r>
      <w:r>
        <w:t xml:space="preserve">risulta esclusivamente da richieste formulate dagli organi di</w:t>
      </w:r>
      <w:r>
        <w:t xml:space="preserve"> </w:t>
      </w:r>
      <w:r>
        <w:t xml:space="preserve">governance designata a questo scopo.Queste proposte di cambiamento saranno</w:t>
      </w:r>
      <w:r>
        <w:t xml:space="preserve"> </w:t>
      </w:r>
      <w:r>
        <w:t xml:space="preserve">esaminato all’interno del comitato strategico, l’unico organismo a cui autorizzato</w:t>
      </w:r>
      <w:r>
        <w:t xml:space="preserve"> </w:t>
      </w:r>
      <w:r>
        <w:t xml:space="preserve">Determinare gli aspetti che richiedono formalizzazione scritta.</w:t>
      </w:r>
    </w:p>
    <w:p>
      <w:pPr>
        <w:pStyle w:val="BodyText"/>
      </w:pPr>
      <w:r>
        <w:t xml:space="preserve">Si è convenuto che qualsiasi evoluzione dell’accordo, dopo la convalida,</w:t>
      </w:r>
      <w:r>
        <w:t xml:space="preserve"> </w:t>
      </w:r>
      <w:r>
        <w:t xml:space="preserve">che altera le condizioni finanziarie inizialmente stabilite, richiederà</w:t>
      </w:r>
      <w:r>
        <w:t xml:space="preserve"> </w:t>
      </w:r>
      <w:r>
        <w:t xml:space="preserve">lo stabilimento e la firma di un emendamento all’attuale contratto.</w:t>
      </w:r>
    </w:p>
    <w:p>
      <w:pPr>
        <w:pStyle w:val="BodyText"/>
      </w:pPr>
      <w:r>
        <w:t xml:space="preserve">I fattori che possono indurre una revisione del presente Accordo includono,</w:t>
      </w:r>
      <w:r>
        <w:t xml:space="preserve"> </w:t>
      </w:r>
      <w:r>
        <w:t xml:space="preserve">senza limitare:</w:t>
      </w:r>
    </w:p>
    <w:p>
      <w:pPr>
        <w:pStyle w:val="Compact"/>
        <w:numPr>
          <w:ilvl w:val="0"/>
          <w:numId w:val="1003"/>
        </w:numPr>
      </w:pPr>
      <w:r>
        <w:t xml:space="preserve">Adattamento della piattaforma PAAS orchestrata dal fornitore.</w:t>
      </w:r>
    </w:p>
    <w:p>
      <w:pPr>
        <w:pStyle w:val="Compact"/>
        <w:numPr>
          <w:ilvl w:val="0"/>
          <w:numId w:val="1003"/>
        </w:numPr>
      </w:pPr>
      <w:r>
        <w:t xml:space="preserve">Le rettifiche apportate ai servizi distribuiti dal fornitore di servizi.</w:t>
      </w:r>
    </w:p>
    <w:p>
      <w:pPr>
        <w:pStyle w:val="Compact"/>
        <w:numPr>
          <w:ilvl w:val="0"/>
          <w:numId w:val="1003"/>
        </w:numPr>
      </w:pPr>
      <w:r>
        <w:t xml:space="preserve">Variazioni negli impegni fatti e sanzioni applicabili.</w:t>
      </w:r>
    </w:p>
    <w:p>
      <w:pPr>
        <w:pStyle w:val="Compact"/>
        <w:numPr>
          <w:ilvl w:val="0"/>
          <w:numId w:val="1003"/>
        </w:numPr>
      </w:pPr>
      <w:r>
        <w:t xml:space="preserve">Riconfigurazioni organizzative all’interno dello sponsor o</w:t>
      </w:r>
      <w:r>
        <w:t xml:space="preserve"> </w:t>
      </w:r>
      <w:r>
        <w:t xml:space="preserve">Fornitore.</w:t>
      </w:r>
    </w:p>
    <w:p>
      <w:pPr>
        <w:pStyle w:val="Compact"/>
        <w:numPr>
          <w:ilvl w:val="0"/>
          <w:numId w:val="1003"/>
        </w:numPr>
      </w:pPr>
      <w:r>
        <w:t xml:space="preserve">Espansione o riduzione nel campo dell’applicazione dei servizi</w:t>
      </w:r>
      <w:r>
        <w:t xml:space="preserve"> </w:t>
      </w:r>
      <w:r>
        <w:t xml:space="preserve">a cui si è iscritto lo sponsor.</w:t>
      </w:r>
    </w:p>
    <w:p>
      <w:pPr>
        <w:pStyle w:val="FirstParagraph"/>
      </w:pPr>
      <w:r>
        <w:t xml:space="preserve">Viene registrata la gestione delle versioni e le revisioni dell’accordo</w:t>
      </w:r>
      <w:r>
        <w:t xml:space="preserve"> </w:t>
      </w:r>
      <w:r>
        <w:t xml:space="preserve">Nel preambolo del documento per facilitare il monitoraggio.</w:t>
      </w:r>
    </w:p>
    <w:bookmarkEnd w:id="24"/>
    <w:bookmarkStart w:id="25" w:name="audit"/>
    <w:p>
      <w:pPr>
        <w:pStyle w:val="Heading2"/>
      </w:pPr>
      <w:r>
        <w:t xml:space="preserve">6. Audit</w:t>
      </w:r>
    </w:p>
    <w:p>
      <w:pPr>
        <w:pStyle w:val="FirstParagraph"/>
      </w:pPr>
      <w:r>
        <w:t xml:space="preserve">Il fornitore di servizi si impegna a consentire lo sponsor o a tutto</w:t>
      </w:r>
      <w:r>
        <w:t xml:space="preserve"> </w:t>
      </w:r>
      <w:r>
        <w:t xml:space="preserve">Ascoltatore di terze parti che quest’ultimo avrebbe nominato, per consultare l’ensemble</w:t>
      </w:r>
      <w:r>
        <w:t xml:space="preserve"> </w:t>
      </w:r>
      <w:r>
        <w:t xml:space="preserve">documenti necessari per il certificato di conformità completa</w:t>
      </w:r>
      <w:r>
        <w:t xml:space="preserve"> </w:t>
      </w:r>
      <w:r>
        <w:t xml:space="preserve">Obblighi relativi al rispetto delle disposizioni dell’articolo 28</w:t>
      </w:r>
      <w:r>
        <w:t xml:space="preserve"> </w:t>
      </w:r>
      <w:r>
        <w:t xml:space="preserve">The General Data Protection Regulations (GDPR), facilitando</w:t>
      </w:r>
      <w:r>
        <w:t xml:space="preserve"> </w:t>
      </w:r>
      <w:r>
        <w:t xml:space="preserve">Quindi la realizzazione degli audit.</w:t>
      </w:r>
    </w:p>
    <w:p>
      <w:pPr>
        <w:pStyle w:val="BodyText"/>
      </w:pPr>
      <w:r>
        <w:t xml:space="preserve">** Il fornitore si impegna in particolare per rendere disponibile al</w:t>
      </w:r>
      <w:r>
        <w:t xml:space="preserve"> </w:t>
      </w:r>
      <w:r>
        <w:t xml:space="preserve">Sponsorizzare l’elenco di tutte le terze parti che possono accedere al</w:t>
      </w:r>
      <w:r>
        <w:t xml:space="preserve"> </w:t>
      </w:r>
      <w:r>
        <w:t xml:space="preserve">dati e informarlo di qualsiasi cambiamento di subappaltatori.</w:t>
      </w:r>
    </w:p>
    <w:p>
      <w:pPr>
        <w:pStyle w:val="BodyText"/>
      </w:pPr>
      <w:r>
        <w:t xml:space="preserve">Dall’accettazione di questo accordo di servizio, il</w:t>
      </w:r>
      <w:r>
        <w:t xml:space="preserve"> </w:t>
      </w:r>
      <w:r>
        <w:t xml:space="preserve">Sponsor dà la sua esplicita autorizzazione a:</w:t>
      </w:r>
    </w:p>
    <w:p>
      <w:pPr>
        <w:pStyle w:val="Compact"/>
        <w:numPr>
          <w:ilvl w:val="0"/>
          <w:numId w:val="1004"/>
        </w:numPr>
      </w:pPr>
      <w:r>
        <w:t xml:space="preserve">** L’Agenzia nazionale per i sistemi di sistemi di informazione</w:t>
      </w:r>
      <w:r>
        <w:t xml:space="preserve"> </w:t>
      </w:r>
      <w:r>
        <w:t xml:space="preserve">(ANSSI) ** e l’entità di qualificazione competente per</w:t>
      </w:r>
      <w:r>
        <w:t xml:space="preserve"> </w:t>
      </w:r>
      <w:r>
        <w:t xml:space="preserve">intraprendere la verifica della conformità del servizio e del suo</w:t>
      </w:r>
      <w:r>
        <w:t xml:space="preserve"> </w:t>
      </w:r>
      <w:r>
        <w:t xml:space="preserve">Sistema informativo sugli standard definiti dal repository</w:t>
      </w:r>
      <w:r>
        <w:t xml:space="preserve"> </w:t>
      </w:r>
      <w:r>
        <w:t xml:space="preserve">Secnumcloud.</w:t>
      </w:r>
    </w:p>
    <w:p>
      <w:pPr>
        <w:pStyle w:val="Compact"/>
        <w:numPr>
          <w:ilvl w:val="0"/>
          <w:numId w:val="1004"/>
        </w:numPr>
      </w:pPr>
      <w:r>
        <w:t xml:space="preserve">** Un fornitore di audit nella sicurezza dei sistemi di informazione **,</w:t>
      </w:r>
      <w:r>
        <w:t xml:space="preserve"> </w:t>
      </w:r>
      <w:r>
        <w:t xml:space="preserve">debitamente qualificato e espressamente designato dal fornitore di servizi, per</w:t>
      </w:r>
      <w:r>
        <w:t xml:space="preserve"> </w:t>
      </w:r>
      <w:r>
        <w:t xml:space="preserve">eseguire audit di sicurezza relativi al servizio emesso</w:t>
      </w:r>
      <w:r>
        <w:t xml:space="preserve"> </w:t>
      </w:r>
      <w:r>
        <w:t xml:space="preserve">dal fornitore.</w:t>
      </w:r>
    </w:p>
    <w:bookmarkEnd w:id="25"/>
    <w:bookmarkStart w:id="26" w:name="descrizione-del-servizio"/>
    <w:p>
      <w:pPr>
        <w:pStyle w:val="Heading2"/>
      </w:pPr>
      <w:r>
        <w:t xml:space="preserve">7. Descrizione del servizio</w:t>
      </w:r>
    </w:p>
    <w:p>
      <w:pPr>
        <w:pStyle w:val="FirstParagraph"/>
      </w:pPr>
      <w:r>
        <w:t xml:space="preserve">L’offerta di servizio offerta dal fornitore di servizi è caratterizzata da</w:t>
      </w:r>
      <w:r>
        <w:t xml:space="preserve"> </w:t>
      </w:r>
      <w:r>
        <w:t xml:space="preserve">Fornitura dei seguenti servizi, che sono allineati con</w:t>
      </w:r>
      <w:r>
        <w:t xml:space="preserve"> </w:t>
      </w:r>
      <w:r>
        <w:t xml:space="preserve">Il principio di responsabilità condivisa dettagliata negli standard consolidati</w:t>
      </w:r>
      <w:r>
        <w:t xml:space="preserve"> </w:t>
      </w:r>
      <w:r>
        <w:t xml:space="preserve">dal repository Secnumcloud:</w:t>
      </w:r>
    </w:p>
    <w:p>
      <w:pPr>
        <w:pStyle w:val="Compact"/>
        <w:numPr>
          <w:ilvl w:val="0"/>
          <w:numId w:val="1005"/>
        </w:numPr>
      </w:pPr>
      <w:r>
        <w:t xml:space="preserve">La fornitura di una piattaforma di gestione dei container Redhat</w:t>
      </w:r>
      <w:r>
        <w:t xml:space="preserve"> </w:t>
      </w:r>
      <w:r>
        <w:t xml:space="preserve">OpenShift pilotato dal fornitore di servizi.</w:t>
      </w:r>
      <w:r>
        <w:t xml:space="preserve"> </w:t>
      </w:r>
      <w:r>
        <w:t xml:space="preserve">Resta inteso che il fornitore di servizi mobiliterà la sua esperienza per raggiungere</w:t>
      </w:r>
      <w:r>
        <w:t xml:space="preserve"> </w:t>
      </w:r>
      <w:r>
        <w:t xml:space="preserve">Vantaggi secondo le migliori pratiche professionali,</w:t>
      </w:r>
      <w:r>
        <w:t xml:space="preserve"> </w:t>
      </w:r>
      <w:r>
        <w:t xml:space="preserve">in accordo con le loro specifiche e rispettando gli standard del suo</w:t>
      </w:r>
      <w:r>
        <w:t xml:space="preserve"> </w:t>
      </w:r>
      <w:r>
        <w:t xml:space="preserve">Certificazione ISO/IEC 27001 e linee guida standard</w:t>
      </w:r>
      <w:r>
        <w:t xml:space="preserve"> </w:t>
      </w:r>
      <w:r>
        <w:t xml:space="preserve">Secnumcloud.</w:t>
      </w:r>
    </w:p>
    <w:bookmarkEnd w:id="26"/>
    <w:bookmarkStart w:id="31" w:name="implementazione-del-servizio"/>
    <w:p>
      <w:pPr>
        <w:pStyle w:val="Heading2"/>
      </w:pPr>
      <w:r>
        <w:t xml:space="preserve">8. Implementazione del servizio</w:t>
      </w:r>
    </w:p>
    <w:p>
      <w:pPr>
        <w:pStyle w:val="FirstParagraph"/>
      </w:pPr>
      <w:r>
        <w:t xml:space="preserve">È specificato che tutte le operazioni e i componenti</w:t>
      </w:r>
      <w:r>
        <w:t xml:space="preserve"> </w:t>
      </w:r>
      <w:r>
        <w:t xml:space="preserve">fisico coinvolto nella fornitura di servizi qualificati, incluso</w:t>
      </w:r>
      <w:r>
        <w:t xml:space="preserve"> </w:t>
      </w:r>
      <w:r>
        <w:t xml:space="preserve">Il presente Accordo è oggetto di, si trova nell’Unione Europea.</w:t>
      </w:r>
      <w:r>
        <w:t xml:space="preserve"> </w:t>
      </w:r>
      <w:r>
        <w:t xml:space="preserve">Ciò include supporto, supervisione operativa e</w:t>
      </w:r>
      <w:r>
        <w:t xml:space="preserve"> </w:t>
      </w:r>
      <w:r>
        <w:t xml:space="preserve">Supervisione della sicurezza (SOC).</w:t>
      </w:r>
    </w:p>
    <w:bookmarkStart w:id="27" w:name="descrizione-dei-componenti-tecnici"/>
    <w:p>
      <w:pPr>
        <w:pStyle w:val="Heading3"/>
      </w:pPr>
      <w:r>
        <w:t xml:space="preserve">8.1.Descrizione dei componenti tecnici</w:t>
      </w:r>
    </w:p>
    <w:p>
      <w:pPr>
        <w:pStyle w:val="FirstParagraph"/>
      </w:pPr>
      <w:r>
        <w:t xml:space="preserve">Il servizio PAAS (Platform as a Service) comprende l’intero</w:t>
      </w:r>
      <w:r>
        <w:t xml:space="preserve"> </w:t>
      </w:r>
      <w:r>
        <w:t xml:space="preserve">componenti e servizi richiesti per un funzionamento ottimale in</w:t>
      </w:r>
      <w:r>
        <w:t xml:space="preserve"> </w:t>
      </w:r>
      <w:r>
        <w:t xml:space="preserve">Rispetto per la qualifica Secnumcloud.</w:t>
      </w:r>
    </w:p>
    <w:p>
      <w:pPr>
        <w:pStyle w:val="BodyText"/>
      </w:pPr>
      <w:r>
        <w:t xml:space="preserve">A questo proposito, le loro prestazioni e affidabilità sono intrinsecamente legate</w:t>
      </w:r>
      <w:r>
        <w:t xml:space="preserve"> </w:t>
      </w:r>
      <w:r>
        <w:t xml:space="preserve">Componenti tecnici e servizi di ** IaaS ** Infrastruttura</w:t>
      </w:r>
      <w:r>
        <w:t xml:space="preserve"> </w:t>
      </w:r>
      <w:r>
        <w:t xml:space="preserve">del fornitore di servizi, come specificato nel documento [Accordo di servizio</w:t>
      </w:r>
      <w:r>
        <w:t xml:space="preserve"> </w:t>
      </w:r>
      <w:r>
        <w:t xml:space="preserve">IAAS] (../ Working%20in%20progress%20-%20NOT%20US/IaaS/SLA_IAAS.MD)</w:t>
      </w:r>
      <w:r>
        <w:t xml:space="preserve"> </w:t>
      </w:r>
      <w:r>
        <w:t xml:space="preserve">Fornitore.</w:t>
      </w:r>
    </w:p>
    <w:bookmarkEnd w:id="27"/>
    <w:bookmarkStart w:id="28" w:name="redhat-openshift-redhat-service-platform"/>
    <w:p>
      <w:pPr>
        <w:pStyle w:val="Heading3"/>
      </w:pPr>
      <w:r>
        <w:t xml:space="preserve">8.1.1.Redhat OpenShift Redhat Service Platform</w:t>
      </w:r>
    </w:p>
    <w:p>
      <w:pPr>
        <w:pStyle w:val="FirstParagraph"/>
      </w:pPr>
      <w:r>
        <w:t xml:space="preserve">Il servizio include la disposizione all’interno di una regione, su 3</w:t>
      </w:r>
      <w:r>
        <w:t xml:space="preserve"> </w:t>
      </w:r>
      <w:r>
        <w:t xml:space="preserve">zone di disponibilità,</w:t>
      </w:r>
    </w:p>
    <w:bookmarkEnd w:id="28"/>
    <w:bookmarkStart w:id="29" w:name="X5eb2cf23fc6c8180a68e1f21f8dca24a35cf1d0"/>
    <w:p>
      <w:pPr>
        <w:pStyle w:val="Heading3"/>
      </w:pPr>
      <w:r>
        <w:t xml:space="preserve">8.1.2.Redenshift Redhat Platform Infrastructure</w:t>
      </w:r>
    </w:p>
    <w:p>
      <w:pPr>
        <w:pStyle w:val="FirstParagraph"/>
      </w:pPr>
      <w:r>
        <w:t xml:space="preserve">Il fornitore di servizi fornisce allo sponsor la console amministrativa e</w:t>
      </w:r>
      <w:r>
        <w:t xml:space="preserve"> </w:t>
      </w:r>
      <w:r>
        <w:t xml:space="preserve">L’API necessaria per lo sfruttamento dei suoi ambienti PaaS Redhat</w:t>
      </w:r>
      <w:r>
        <w:t xml:space="preserve"> </w:t>
      </w:r>
      <w:r>
        <w:t xml:space="preserve">Openshift.Si impegna anche a tenerli in condizione</w:t>
      </w:r>
      <w:r>
        <w:t xml:space="preserve"> </w:t>
      </w:r>
      <w:r>
        <w:t xml:space="preserve">operativo ottimale e per garantire la sua sicurezza continuamente.</w:t>
      </w:r>
    </w:p>
    <w:p>
      <w:pPr>
        <w:pStyle w:val="BodyText"/>
      </w:pPr>
      <w:r>
        <w:t xml:space="preserve">Nel quadro specifico del servizio fornito, il fornitore di servizi mette</w:t>
      </w:r>
      <w:r>
        <w:t xml:space="preserve"> </w:t>
      </w:r>
      <w:r>
        <w:t xml:space="preserve">fornitura del provider tutte le interfacce e le API del</w:t>
      </w:r>
      <w:r>
        <w:t xml:space="preserve"> </w:t>
      </w:r>
      <w:r>
        <w:t xml:space="preserve">Redhat OpenShift Platform all’interno del proprietario selezionato.Ritorna a</w:t>
      </w:r>
      <w:r>
        <w:t xml:space="preserve"> </w:t>
      </w:r>
      <w:r>
        <w:t xml:space="preserve">Sponsor per stabilire dispositivi di sicurezza adeguati, come</w:t>
      </w:r>
      <w:r>
        <w:t xml:space="preserve"> </w:t>
      </w:r>
      <w:r>
        <w:t xml:space="preserve">Quelle firewall (firewall), Web Application Firewalls (WAF) e</w:t>
      </w:r>
      <w:r>
        <w:t xml:space="preserve"> </w:t>
      </w:r>
      <w:r>
        <w:t xml:space="preserve">altre misure protettive, oltre a definire le regole di</w:t>
      </w:r>
      <w:r>
        <w:t xml:space="preserve"> </w:t>
      </w:r>
      <w:r>
        <w:t xml:space="preserve">Filtro associato per garantire l’accesso alla sua piattaforma in conformità</w:t>
      </w:r>
      <w:r>
        <w:t xml:space="preserve"> </w:t>
      </w:r>
      <w:r>
        <w:t xml:space="preserve">alla sua politica di sicurezza.</w:t>
      </w:r>
    </w:p>
    <w:p>
      <w:pPr>
        <w:pStyle w:val="BodyText"/>
      </w:pPr>
      <w:r>
        <w:t xml:space="preserve">Il fornitore di servizi avvisa lo sponsor del fatto che</w:t>
      </w:r>
      <w:r>
        <w:t xml:space="preserve"> </w:t>
      </w:r>
      <w:r>
        <w:t xml:space="preserve">anormale della sua console di somministrazione, specialmente in caso di sovraccarico</w:t>
      </w:r>
      <w:r>
        <w:t xml:space="preserve"> </w:t>
      </w:r>
      <w:r>
        <w:t xml:space="preserve">delle sue API di comando (martellamento), può innescare misure di</w:t>
      </w:r>
      <w:r>
        <w:t xml:space="preserve"> </w:t>
      </w:r>
      <w:r>
        <w:t xml:space="preserve">sicurezza automatica con conseguente blocco dell’accesso alle API di</w:t>
      </w:r>
      <w:r>
        <w:t xml:space="preserve"> </w:t>
      </w:r>
      <w:r>
        <w:t xml:space="preserve">Ordine o determinati servizi del fornitore di servizi.È consigliabile sottolineare</w:t>
      </w:r>
      <w:r>
        <w:t xml:space="preserve"> </w:t>
      </w:r>
      <w:r>
        <w:t xml:space="preserve">che questa situazione non costituisca l’indisponibilità del servizio ma</w:t>
      </w:r>
      <w:r>
        <w:t xml:space="preserve"> </w:t>
      </w:r>
      <w:r>
        <w:t xml:space="preserve">un’azione di protezione per l’infrastruttura del fornitore;di</w:t>
      </w:r>
      <w:r>
        <w:t xml:space="preserve"> </w:t>
      </w:r>
      <w:r>
        <w:t xml:space="preserve">Di conseguenza, lo sponsor non può considerarlo come a</w:t>
      </w:r>
      <w:r>
        <w:t xml:space="preserve"> </w:t>
      </w:r>
      <w:r>
        <w:t xml:space="preserve">indisponibilità nei suoi calcoli.</w:t>
      </w:r>
      <w:r>
        <w:t xml:space="preserve"> </w:t>
      </w:r>
      <w:r>
        <w:t xml:space="preserve">Inoltre, il fornitore di servizi specifica lo sponsor che richiede</w:t>
      </w:r>
      <w:r>
        <w:t xml:space="preserve"> </w:t>
      </w:r>
      <w:r>
        <w:t xml:space="preserve">Perfettamente identici (duplicati) inviati alle sue API sono limitati a</w:t>
      </w:r>
      <w:r>
        <w:t xml:space="preserve"> </w:t>
      </w:r>
      <w:r>
        <w:t xml:space="preserve">Uno al secondo (limitazione).Se lo sponsor presenta le richieste</w:t>
      </w:r>
      <w:r>
        <w:t xml:space="preserve"> </w:t>
      </w:r>
      <w:r>
        <w:t xml:space="preserve">identico a una frequenza più elevata, il loro rifiuto non dovrebbe essere</w:t>
      </w:r>
      <w:r>
        <w:t xml:space="preserve"> </w:t>
      </w:r>
      <w:r>
        <w:t xml:space="preserve">interpretato come indisponibilità del servizio.</w:t>
      </w:r>
    </w:p>
    <w:bookmarkEnd w:id="29"/>
    <w:bookmarkStart w:id="30" w:name="infrastruttura-di-backup-associata"/>
    <w:p>
      <w:pPr>
        <w:pStyle w:val="Heading3"/>
      </w:pPr>
      <w:r>
        <w:t xml:space="preserve">8.1.3.Infrastruttura di backup associata</w:t>
      </w:r>
    </w:p>
    <w:p>
      <w:pPr>
        <w:pStyle w:val="FirstParagraph"/>
      </w:pPr>
      <w:r>
        <w:t xml:space="preserve">Il fornitore di servizi fornisce allo sponsor un</w:t>
      </w:r>
      <w:r>
        <w:t xml:space="preserve"> </w:t>
      </w:r>
      <w:r>
        <w:t xml:space="preserve">Backup integrato, dedicato e gestito, destinato alla protezione di</w:t>
      </w:r>
      <w:r>
        <w:t xml:space="preserve"> </w:t>
      </w:r>
      <w:r>
        <w:t xml:space="preserve">Dati dai suoi ambienti Redhat OpenShift.Il fornitore di servizi fornisce</w:t>
      </w:r>
      <w:r>
        <w:t xml:space="preserve"> </w:t>
      </w:r>
      <w:r>
        <w:t xml:space="preserve">manutenzione in condizioni operative e condizioni di sicurezza di</w:t>
      </w:r>
      <w:r>
        <w:t xml:space="preserve"> </w:t>
      </w:r>
      <w:r>
        <w:t xml:space="preserve">Questa piattaforma di backup integrata.Indipendentemente dal numero di</w:t>
      </w:r>
      <w:r>
        <w:t xml:space="preserve"> </w:t>
      </w:r>
      <w:r>
        <w:t xml:space="preserve">zone di disponibilità iscritte dallo sponsor, il fornitore di servizi</w:t>
      </w:r>
      <w:r>
        <w:t xml:space="preserve"> </w:t>
      </w:r>
      <w:r>
        <w:t xml:space="preserve">assicura che la piattaforma di backup dello sponsor si trovi</w:t>
      </w:r>
      <w:r>
        <w:t xml:space="preserve"> </w:t>
      </w:r>
      <w:r>
        <w:t xml:space="preserve">Al di fuori dell’area di disponibilità dei carichi di lavoro salvaguardati.</w:t>
      </w:r>
      <w:r>
        <w:t xml:space="preserve"> </w:t>
      </w:r>
      <w:r>
        <w:t xml:space="preserve">Il servizio di backup è limitato al salvataggio di macchine</w:t>
      </w:r>
      <w:r>
        <w:t xml:space="preserve"> </w:t>
      </w:r>
      <w:r>
        <w:t xml:space="preserve">virtuali e configurazioni di topologia dell’ambiente IAAS</w:t>
      </w:r>
      <w:r>
        <w:t xml:space="preserve"> </w:t>
      </w:r>
      <w:r>
        <w:t xml:space="preserve">Supportatori di Secnumcloud dello sponsor.Sviluppo e</w:t>
      </w:r>
      <w:r>
        <w:t xml:space="preserve"> </w:t>
      </w:r>
      <w:r>
        <w:t xml:space="preserve">l’applicazione di una politica di backup adeguata da parte del</w:t>
      </w:r>
      <w:r>
        <w:t xml:space="preserve"> </w:t>
      </w:r>
      <w:r>
        <w:t xml:space="preserve">Lo sponsor dipende dall’abbonamento alle unità di lavoro</w:t>
      </w:r>
      <w:r>
        <w:t xml:space="preserve"> </w:t>
      </w:r>
      <w:r>
        <w:t xml:space="preserve">specifico.È quindi responsabilità dello sponsor garantire il</w:t>
      </w:r>
      <w:r>
        <w:t xml:space="preserve"> </w:t>
      </w:r>
      <w:r>
        <w:t xml:space="preserve">Disponibilità delle risorse tecniche necessarie con</w:t>
      </w:r>
      <w:r>
        <w:t xml:space="preserve"> </w:t>
      </w:r>
      <w:r>
        <w:t xml:space="preserve">Fornitore per attuare la loro politica di salvaguardia o</w:t>
      </w:r>
      <w:r>
        <w:t xml:space="preserve"> </w:t>
      </w:r>
      <w:r>
        <w:t xml:space="preserve">Per regolare quest’ultimo in base ai mezzi disponibili.</w:t>
      </w:r>
    </w:p>
    <w:p>
      <w:pPr>
        <w:pStyle w:val="BodyText"/>
      </w:pPr>
      <w:r>
        <w:t xml:space="preserve">Il fornitore di servizi si impegna a avvisare lo sponsor in caso di</w:t>
      </w:r>
      <w:r>
        <w:t xml:space="preserve"> </w:t>
      </w:r>
      <w:r>
        <w:t xml:space="preserve">vincoli di capacità e per fornire assistenza consulenza per</w:t>
      </w:r>
      <w:r>
        <w:t xml:space="preserve"> </w:t>
      </w:r>
      <w:r>
        <w:t xml:space="preserve">L’ottimizzazione delle risorse.Gli obblighi del fornitore sono</w:t>
      </w:r>
      <w:r>
        <w:t xml:space="preserve"> </w:t>
      </w:r>
      <w:r>
        <w:t xml:space="preserve">limiterà l’attuazione delle esigenze espresse dallo sponsor</w:t>
      </w:r>
      <w:r>
        <w:t xml:space="preserve"> </w:t>
      </w:r>
      <w:r>
        <w:t xml:space="preserve">In termini di politica di salvaguardia, nel quadro delle risorse</w:t>
      </w:r>
      <w:r>
        <w:t xml:space="preserve"> </w:t>
      </w:r>
      <w:r>
        <w:t xml:space="preserve">sottoscritto.</w:t>
      </w:r>
      <w:r>
        <w:t xml:space="preserve"> </w:t>
      </w:r>
      <w:r>
        <w:t xml:space="preserve">### 8.1.4.Attuazione della ripresa dell’attività o della continuità dell’attività</w:t>
      </w:r>
    </w:p>
    <w:p>
      <w:pPr>
        <w:pStyle w:val="BodyText"/>
      </w:pPr>
      <w:r>
        <w:t xml:space="preserve">Il fornitore di servizi fornisce allo sponsor il set di soluzioni</w:t>
      </w:r>
      <w:r>
        <w:t xml:space="preserve"> </w:t>
      </w:r>
      <w:r>
        <w:t xml:space="preserve">tecniche necessarie per garantire una distribuzione ottimale del suo</w:t>
      </w:r>
      <w:r>
        <w:t xml:space="preserve"> </w:t>
      </w:r>
      <w:r>
        <w:t xml:space="preserve">risorse attraverso varie aree di disponibilità.È responsabilità di</w:t>
      </w:r>
      <w:r>
        <w:t xml:space="preserve"> </w:t>
      </w:r>
      <w:r>
        <w:t xml:space="preserve">Sponsorizza la responsabilità di gestire efficacemente questa distribuzione</w:t>
      </w:r>
      <w:r>
        <w:t xml:space="preserve"> </w:t>
      </w:r>
      <w:r>
        <w:t xml:space="preserve">di risorse, per le quali ha la possibilità di sfruttare gli strumenti</w:t>
      </w:r>
      <w:r>
        <w:t xml:space="preserve"> </w:t>
      </w:r>
      <w:r>
        <w:t xml:space="preserve">del fornitore disponibile per questo utilizzo.</w:t>
      </w:r>
      <w:r>
        <w:t xml:space="preserve"> </w:t>
      </w:r>
      <w:r>
        <w:t xml:space="preserve">In particolare, le applicazioni distribuite sulla piattaforma Redhat</w:t>
      </w:r>
      <w:r>
        <w:t xml:space="preserve"> </w:t>
      </w:r>
      <w:r>
        <w:t xml:space="preserve">OpenShift deve prendersi cura dei meccanismi di ridondanza</w:t>
      </w:r>
      <w:r>
        <w:t xml:space="preserve"> </w:t>
      </w:r>
      <w:r>
        <w:t xml:space="preserve">proposto dal fornitore di servizi per poter beneficiare delle soluzioni di</w:t>
      </w:r>
      <w:r>
        <w:t xml:space="preserve"> </w:t>
      </w:r>
      <w:r>
        <w:t xml:space="preserve">Ripresa dell’attività o continuità di attività associata.</w:t>
      </w:r>
    </w:p>
    <w:bookmarkEnd w:id="30"/>
    <w:bookmarkEnd w:id="31"/>
    <w:bookmarkStart w:id="33" w:name="impegni-e-livelli-di-servizio"/>
    <w:p>
      <w:pPr>
        <w:pStyle w:val="Heading2"/>
      </w:pPr>
      <w:r>
        <w:t xml:space="preserve">9. Impegni e livelli di servizio</w:t>
      </w:r>
    </w:p>
    <w:p>
      <w:pPr>
        <w:pStyle w:val="FirstParagraph"/>
      </w:pPr>
      <w:r>
        <w:t xml:space="preserve">Il fornitore di servizi si impegna a garantire il monitoraggio continuo del</w:t>
      </w:r>
      <w:r>
        <w:t xml:space="preserve"> </w:t>
      </w:r>
      <w:r>
        <w:t xml:space="preserve">prestazioni e integrità della sicurezza delle sue piattaforme e</w:t>
      </w:r>
      <w:r>
        <w:t xml:space="preserve"> </w:t>
      </w:r>
      <w:r>
        <w:t xml:space="preserve">Servizi, garantendo il loro funzionamento ottimale.</w:t>
      </w:r>
      <w:r>
        <w:t xml:space="preserve"> </w:t>
      </w:r>
      <w:r>
        <w:t xml:space="preserve">L’indisponibilità di un servizio, essendo soggetto a un indicatore di</w:t>
      </w:r>
      <w:r>
        <w:t xml:space="preserve"> </w:t>
      </w:r>
      <w:r>
        <w:t xml:space="preserve">prestazioni, è riconosciuto non appena viene identificato dal sistema di</w:t>
      </w:r>
      <w:r>
        <w:t xml:space="preserve"> </w:t>
      </w:r>
      <w:r>
        <w:t xml:space="preserve">supervisione del fornitore di servizi o seguendo una notifica da parte di a</w:t>
      </w:r>
      <w:r>
        <w:t xml:space="preserve"> </w:t>
      </w:r>
      <w:r>
        <w:t xml:space="preserve">Sponsor Utente.L’inizio dell’indisponibilità è fissato a</w:t>
      </w:r>
      <w:r>
        <w:t xml:space="preserve"> </w:t>
      </w:r>
      <w:r>
        <w:t xml:space="preserve">il primo momento tra questi due eventi, al fine di garantire a</w:t>
      </w:r>
      <w:r>
        <w:t xml:space="preserve"> </w:t>
      </w:r>
      <w:r>
        <w:t xml:space="preserve">Conteggio preciso e solo tempo non disponibile.</w:t>
      </w:r>
    </w:p>
    <w:p>
      <w:pPr>
        <w:pStyle w:val="BodyText"/>
      </w:pPr>
      <w:r>
        <w:t xml:space="preserve">La fine dell’indisponibilità è ufficialmente contrassegnata dal</w:t>
      </w:r>
      <w:r>
        <w:t xml:space="preserve"> </w:t>
      </w:r>
      <w:r>
        <w:t xml:space="preserve">completo restauro del servizio, confermato dagli strumenti di</w:t>
      </w:r>
      <w:r>
        <w:t xml:space="preserve"> </w:t>
      </w:r>
      <w:r>
        <w:t xml:space="preserve">supervisione del fornitore di servizi, sia per rendimento dell’utente, garantendo</w:t>
      </w:r>
      <w:r>
        <w:t xml:space="preserve"> </w:t>
      </w:r>
      <w:r>
        <w:t xml:space="preserve">quindi un efficace recupero delle operazioni e una misura fedele del</w:t>
      </w:r>
      <w:r>
        <w:t xml:space="preserve"> </w:t>
      </w:r>
      <w:r>
        <w:t xml:space="preserve">durata dell’interruzione.</w:t>
      </w:r>
    </w:p>
    <w:bookmarkStart w:id="32" w:name="Xd85598efee92705c42f3d52b8d8fad9132a363a"/>
    <w:p>
      <w:pPr>
        <w:pStyle w:val="Heading3"/>
      </w:pPr>
      <w:r>
        <w:t xml:space="preserve">9.1.Impegno di disponibilità della piattaforma Redhat OpenShift</w:t>
      </w:r>
    </w:p>
    <w:p>
      <w:pPr>
        <w:pStyle w:val="FirstParagraph"/>
      </w:pPr>
      <w:r>
        <w:t xml:space="preserve">Il fornitore di servizi si impegna a mantenere un livello di disponibilità e</w:t>
      </w:r>
      <w:r>
        <w:t xml:space="preserve"> </w:t>
      </w:r>
      <w:r>
        <w:t xml:space="preserve">prestazioni in conformità con gli standard definiti per ciascun periodo</w:t>
      </w:r>
      <w:r>
        <w:t xml:space="preserve"> </w:t>
      </w:r>
      <w:r>
        <w:t xml:space="preserve">specificato.Impegni a livello di servizio (servizio di livello</w:t>
      </w:r>
      <w:r>
        <w:t xml:space="preserve"> </w:t>
      </w:r>
      <w:r>
        <w:t xml:space="preserve">Accordi, SLAS) Applica a condizione che lo sponsor</w:t>
      </w:r>
      <w:r>
        <w:t xml:space="preserve"> </w:t>
      </w:r>
      <w:r>
        <w:t xml:space="preserve">implementa i suoi sistemi attraverso almeno due delle aree di</w:t>
      </w:r>
      <w:r>
        <w:t xml:space="preserve"> </w:t>
      </w:r>
      <w:r>
        <w:t xml:space="preserve">Disponibilità presente nella regione interessata.</w:t>
      </w:r>
    </w:p>
    <w:p>
      <w:pPr>
        <w:pStyle w:val="BodyText"/>
      </w:pPr>
      <w:r>
        <w:t xml:space="preserve">In assenza di conformità a queste condizioni da parte dello sponsor,</w:t>
      </w:r>
      <w:r>
        <w:t xml:space="preserve"> </w:t>
      </w:r>
      <w:r>
        <w:t xml:space="preserve">Sarà incapacità di rivendicare l’applicazione di</w:t>
      </w:r>
      <w:r>
        <w:t xml:space="preserve"> </w:t>
      </w:r>
      <w:r>
        <w:t xml:space="preserve">Gli SLA interessati, che sono specificamente identificati da a</w:t>
      </w:r>
      <w:r>
        <w:t xml:space="preserve"> </w:t>
      </w:r>
      <w:r>
        <w:t xml:space="preserve">Asterisk (*).L’accessibilità agli SLA viene eseguita tramite l’interfaccia</w:t>
      </w:r>
      <w:r>
        <w:t xml:space="preserve"> </w:t>
      </w:r>
      <w:r>
        <w:t xml:space="preserve">Sponsor.** Le misure ascoltano mensilmente calcolate **:</w:t>
      </w:r>
    </w:p>
    <w:p>
      <w:pPr>
        <w:pStyle w:val="BodyText"/>
      </w:pPr>
      <w:r>
        <w:t xml:space="preserve">-**sla 1 (*): Ic-paas_snc-01 **-disponibilità della piattaforma</w:t>
      </w:r>
      <w:r>
        <w:t xml:space="preserve"> </w:t>
      </w:r>
      <w:r>
        <w:t xml:space="preserve">Redhat Openshift: tasso di disponibilità garantito del 99,9%, calcolato su</w:t>
      </w:r>
      <w:r>
        <w:t xml:space="preserve"> </w:t>
      </w:r>
      <w:r>
        <w:t xml:space="preserve">Una base di 24 ore, 7 giorni alla settimana.</w:t>
      </w:r>
    </w:p>
    <w:p>
      <w:pPr>
        <w:pStyle w:val="BodyText"/>
      </w:pPr>
      <w:r>
        <w:t xml:space="preserve">*** Osservazioni ***:</w:t>
      </w:r>
    </w:p>
    <w:p>
      <w:pPr>
        <w:numPr>
          <w:ilvl w:val="0"/>
          <w:numId w:val="1006"/>
        </w:numPr>
      </w:pPr>
      <w:r>
        <w:rPr>
          <w:i/>
          <w:iCs/>
        </w:rPr>
        <w:t xml:space="preserve">In risposta un attacco da parte di negazione del servizio distribuito (DDoS), il</w:t>
      </w:r>
      <w:r>
        <w:rPr>
          <w:i/>
          <w:iCs/>
        </w:rPr>
        <w:t xml:space="preserve"> </w:t>
      </w:r>
      <w:r>
        <w:rPr>
          <w:i/>
          <w:iCs/>
        </w:rPr>
        <w:t xml:space="preserve">Il fornitore si riserva il diritto di regolare la sua configurazione di routing</w:t>
      </w:r>
      <w:r>
        <w:rPr>
          <w:i/>
          <w:iCs/>
        </w:rPr>
        <w:t xml:space="preserve"> </w:t>
      </w:r>
      <w:r>
        <w:rPr>
          <w:i/>
          <w:iCs/>
        </w:rPr>
        <w:t xml:space="preserve">Internet per limitare l’impatto di questo attacco e salvare il suo</w:t>
      </w:r>
      <w:r>
        <w:rPr>
          <w:i/>
          <w:iCs/>
        </w:rPr>
        <w:t xml:space="preserve"> </w:t>
      </w:r>
      <w:r>
        <w:rPr>
          <w:i/>
          <w:iCs/>
        </w:rPr>
        <w:t xml:space="preserve">infrastruttura.In particolare, se un indirizzo IP appartenente a</w:t>
      </w:r>
      <w:r>
        <w:rPr>
          <w:i/>
          <w:iCs/>
        </w:rPr>
        <w:t xml:space="preserve"> </w:t>
      </w:r>
      <w:r>
        <w:rPr>
          <w:i/>
          <w:iCs/>
        </w:rPr>
        <w:t xml:space="preserve">Lo sponsor è mirato, il fornitore di servizi può utilizzare la tecnica</w:t>
      </w:r>
      <w:r>
        <w:rPr>
          <w:i/>
          <w:iCs/>
        </w:rPr>
        <w:t xml:space="preserve"> </w:t>
      </w:r>
      <w:r>
        <w:rPr>
          <w:i/>
          <w:iCs/>
        </w:rPr>
        <w:t xml:space="preserve">di Blackholing tramite la comunità BGP per bloccare tutto il traffico verso</w:t>
      </w:r>
      <w:r>
        <w:rPr>
          <w:i/>
          <w:iCs/>
        </w:rPr>
        <w:t xml:space="preserve"> </w:t>
      </w:r>
      <w:r>
        <w:rPr>
          <w:i/>
          <w:iCs/>
        </w:rPr>
        <w:t xml:space="preserve">L’indirizzo IP si riferiva a upstream ai suoi fornitori, per</w:t>
      </w:r>
      <w:r>
        <w:rPr>
          <w:i/>
          <w:iCs/>
        </w:rPr>
        <w:t xml:space="preserve"> </w:t>
      </w:r>
      <w:r>
        <w:rPr>
          <w:i/>
          <w:iCs/>
        </w:rPr>
        <w:t xml:space="preserve">proteggere le risorse dello sponsor e quelle degli altri</w:t>
      </w:r>
      <w:r>
        <w:rPr>
          <w:i/>
          <w:iCs/>
        </w:rPr>
        <w:t xml:space="preserve"> </w:t>
      </w:r>
      <w:r>
        <w:rPr>
          <w:i/>
          <w:iCs/>
        </w:rPr>
        <w:t xml:space="preserve">Sponsor e infrastrutture del fornitore di servizi.Il fornitore</w:t>
      </w:r>
      <w:r>
        <w:rPr>
          <w:i/>
          <w:iCs/>
        </w:rPr>
        <w:t xml:space="preserve"> </w:t>
      </w:r>
      <w:r>
        <w:rPr>
          <w:i/>
          <w:iCs/>
        </w:rPr>
        <w:t xml:space="preserve">incoraggia fortemente lo sponsor ad adottare misure simili,</w:t>
      </w:r>
      <w:r>
        <w:rPr>
          <w:i/>
          <w:iCs/>
        </w:rPr>
        <w:t xml:space="preserve"> </w:t>
      </w:r>
      <w:r>
        <w:rPr>
          <w:i/>
          <w:iCs/>
        </w:rPr>
        <w:t xml:space="preserve">come l’utilizzo del software Firewall applicazioni Web</w:t>
      </w:r>
      <w:r>
        <w:rPr>
          <w:i/>
          <w:iCs/>
        </w:rPr>
        <w:t xml:space="preserve"> </w:t>
      </w:r>
      <w:r>
        <w:rPr>
          <w:i/>
          <w:iCs/>
        </w:rPr>
        <w:t xml:space="preserve">Disponibile sul mercato e per configurare attentamente i suoi gruppi</w:t>
      </w:r>
      <w:r>
        <w:rPr>
          <w:i/>
          <w:iCs/>
        </w:rPr>
        <w:t xml:space="preserve"> </w:t>
      </w:r>
      <w:r>
        <w:rPr>
          <w:i/>
          <w:iCs/>
        </w:rPr>
        <w:t xml:space="preserve">Sicurezza tramite l’API di controllo.</w:t>
      </w:r>
    </w:p>
    <w:p>
      <w:pPr>
        <w:numPr>
          <w:ilvl w:val="0"/>
          <w:numId w:val="1006"/>
        </w:numPr>
      </w:pPr>
      <w:r>
        <w:rPr>
          <w:i/>
          <w:iCs/>
        </w:rPr>
        <w:t xml:space="preserve">Il fornitore di servizi insiste sulla necessità dello sponsor di</w:t>
      </w:r>
      <w:r>
        <w:rPr>
          <w:i/>
          <w:iCs/>
        </w:rPr>
        <w:t xml:space="preserve"> </w:t>
      </w:r>
      <w:r>
        <w:rPr>
          <w:i/>
          <w:iCs/>
        </w:rPr>
        <w:t xml:space="preserve">ridurre al minimo le aperture del flusso, in particolare evitando di fare</w:t>
      </w:r>
      <w:r>
        <w:rPr>
          <w:i/>
          <w:iCs/>
        </w:rPr>
        <w:t xml:space="preserve"> </w:t>
      </w:r>
      <w:r>
        <w:rPr>
          <w:i/>
          <w:iCs/>
        </w:rPr>
        <w:t xml:space="preserve">Accessibile le porte di amministrazione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ssh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(porta tcp 22) 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RDP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(porta TCP 3389) dal set di Internet (sub-network</w:t>
      </w:r>
      <w:r>
        <w:rPr>
          <w:i/>
          <w:iCs/>
        </w:rPr>
        <w:t xml:space="preserve"> </w:t>
      </w:r>
      <w:r>
        <w:rPr>
          <w:i/>
          <w:iCs/>
        </w:rPr>
        <w:t xml:space="preserve">0.0.0.0/0), nonché protocolli interni come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SMB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(porta</w:t>
      </w:r>
      <w:r>
        <w:rPr>
          <w:i/>
          <w:iCs/>
        </w:rPr>
        <w:t xml:space="preserve"> </w:t>
      </w:r>
      <w:r>
        <w:rPr>
          <w:i/>
          <w:iCs/>
        </w:rPr>
        <w:t xml:space="preserve">TCP/UDP 445) 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NFS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(Porta TCP/UDP 2049).</w:t>
      </w:r>
    </w:p>
    <w:bookmarkEnd w:id="32"/>
    <w:bookmarkEnd w:id="33"/>
    <w:bookmarkStart w:id="37" w:name="X10bddbcd165b79d97626ce736b70853957e2c27"/>
    <w:p>
      <w:pPr>
        <w:pStyle w:val="Heading2"/>
      </w:pPr>
      <w:r>
        <w:t xml:space="preserve">10. Modello di responsabilità condivisa applicabile</w:t>
      </w:r>
    </w:p>
    <w:bookmarkStart w:id="34" w:name="responsabilità-e-obblighi-del-fornitore"/>
    <w:p>
      <w:pPr>
        <w:pStyle w:val="Heading3"/>
      </w:pPr>
      <w:r>
        <w:t xml:space="preserve">10.1.Responsabilità e obblighi del fornitore</w:t>
      </w:r>
    </w:p>
    <w:p>
      <w:pPr>
        <w:pStyle w:val="FirstParagraph"/>
      </w:pPr>
      <w:r>
        <w:t xml:space="preserve">Il fornitore di servizi si impegna a fornire lo sponsor di</w:t>
      </w:r>
      <w:r>
        <w:t xml:space="preserve"> </w:t>
      </w:r>
      <w:r>
        <w:t xml:space="preserve">interfacce utente in lingua francese e inglese, facilitando così</w:t>
      </w:r>
      <w:r>
        <w:t xml:space="preserve"> </w:t>
      </w:r>
      <w:r>
        <w:t xml:space="preserve">Accesso e gestione dei servizi forniti.Lo sponsor, il suo</w:t>
      </w:r>
      <w:r>
        <w:t xml:space="preserve"> </w:t>
      </w:r>
      <w:r>
        <w:t xml:space="preserve">lato, impegnarsi a rispettare i vincoli legali e normativi</w:t>
      </w:r>
      <w:r>
        <w:t xml:space="preserve"> </w:t>
      </w:r>
      <w:r>
        <w:t xml:space="preserve">vigore relativo ai dati che affida al fornitore di servizi per</w:t>
      </w:r>
      <w:r>
        <w:t xml:space="preserve"> </w:t>
      </w:r>
      <w:r>
        <w:t xml:space="preserve">trattamento.</w:t>
      </w:r>
    </w:p>
    <w:p>
      <w:pPr>
        <w:pStyle w:val="BodyText"/>
      </w:pPr>
      <w:r>
        <w:t xml:space="preserve">In caso di trasmissione dei dati soggetti a requisiti legali</w:t>
      </w:r>
      <w:r>
        <w:t xml:space="preserve"> </w:t>
      </w:r>
      <w:r>
        <w:t xml:space="preserve">specifico, il fornitore di servizi collaborerà con lo sponsor per</w:t>
      </w:r>
      <w:r>
        <w:t xml:space="preserve"> </w:t>
      </w:r>
      <w:r>
        <w:t xml:space="preserve">Identificare e implementare le misure di sicurezza necessarie,</w:t>
      </w:r>
      <w:r>
        <w:t xml:space="preserve"> </w:t>
      </w:r>
      <w:r>
        <w:t xml:space="preserve">in conformità con gli obblighi del fornitore e all’interno del quadro di</w:t>
      </w:r>
      <w:r>
        <w:t xml:space="preserve"> </w:t>
      </w:r>
      <w:r>
        <w:t xml:space="preserve">Fornitura di servizi.</w:t>
      </w:r>
    </w:p>
    <w:p>
      <w:pPr>
        <w:pStyle w:val="BodyText"/>
      </w:pPr>
      <w:r>
        <w:t xml:space="preserve">Il fornitore prende anche l’impegno per esaminare e prendere</w:t>
      </w:r>
      <w:r>
        <w:t xml:space="preserve"> </w:t>
      </w:r>
      <w:r>
        <w:t xml:space="preserve">In considerazione le esigenze specifiche legate ai settori delle attività</w:t>
      </w:r>
      <w:r>
        <w:t xml:space="preserve"> </w:t>
      </w:r>
      <w:r>
        <w:t xml:space="preserve">dello sponsor, rispettando i limiti della sua responsabilità,</w:t>
      </w:r>
      <w:r>
        <w:t xml:space="preserve"> </w:t>
      </w:r>
      <w:r>
        <w:t xml:space="preserve">Per garantire un livello di sicurezza adattata alle informazioni elaborate.</w:t>
      </w:r>
    </w:p>
    <w:p>
      <w:pPr>
        <w:pStyle w:val="BodyText"/>
      </w:pPr>
      <w:r>
        <w:t xml:space="preserve">Se è probabile che un progetto influisca sulla sicurezza del servizio offerto</w:t>
      </w:r>
      <w:r>
        <w:t xml:space="preserve"> </w:t>
      </w:r>
      <w:r>
        <w:t xml:space="preserve">o la disponibilità di detto servizio o per generare una perdita di</w:t>
      </w:r>
      <w:r>
        <w:t xml:space="preserve"> </w:t>
      </w:r>
      <w:r>
        <w:t xml:space="preserve">Funzionalità, il fornitore di servizi si impegna a informare tramite la console</w:t>
      </w:r>
      <w:r>
        <w:t xml:space="preserve"> </w:t>
      </w:r>
      <w:r>
        <w:t xml:space="preserve">o via e -mail in contatto con lo sponsor e entro un tempo ragionevole</w:t>
      </w:r>
      <w:r>
        <w:t xml:space="preserve"> </w:t>
      </w:r>
      <w:r>
        <w:t xml:space="preserve">lo sponsor di potenziali impatti, misure correttive</w:t>
      </w:r>
      <w:r>
        <w:t xml:space="preserve"> </w:t>
      </w:r>
      <w:r>
        <w:t xml:space="preserve">Rischi previsti e residui che lo riguarda, garantendo un</w:t>
      </w:r>
      <w:r>
        <w:t xml:space="preserve"> </w:t>
      </w:r>
      <w:r>
        <w:t xml:space="preserve">trasparenza totale.</w:t>
      </w:r>
    </w:p>
    <w:p>
      <w:pPr>
        <w:pStyle w:val="BodyText"/>
      </w:pPr>
      <w:r>
        <w:t xml:space="preserve">Il fornitore di servizi si impegna a non utilizzare i dati dello sponsor</w:t>
      </w:r>
      <w:r>
        <w:t xml:space="preserve"> </w:t>
      </w:r>
      <w:r>
        <w:t xml:space="preserve">dalla produzione per eseguire test, ad eccezione di</w:t>
      </w:r>
      <w:r>
        <w:t xml:space="preserve"> </w:t>
      </w:r>
      <w:r>
        <w:t xml:space="preserve">ottenere in anticipo l’autorizzazione esplicita dello sponsor, a chi</w:t>
      </w:r>
      <w:r>
        <w:t xml:space="preserve"> </w:t>
      </w:r>
      <w:r>
        <w:t xml:space="preserve">casi che il fornitore si impegna ad anonimi di questi dati e garantire i suoi</w:t>
      </w:r>
      <w:r>
        <w:t xml:space="preserve"> </w:t>
      </w:r>
      <w:r>
        <w:t xml:space="preserve">riservatezza durante la loro anonima.</w:t>
      </w:r>
    </w:p>
    <w:p>
      <w:pPr>
        <w:pStyle w:val="BodyText"/>
      </w:pPr>
      <w:r>
        <w:t xml:space="preserve">In caso di cambio di subappaltatore per l’alloggio,</w:t>
      </w:r>
      <w:r>
        <w:t xml:space="preserve"> </w:t>
      </w:r>
      <w:r>
        <w:t xml:space="preserve">Il fornitore informerà lo sponsor a monte, assicurando che questo</w:t>
      </w:r>
      <w:r>
        <w:t xml:space="preserve"> </w:t>
      </w:r>
      <w:r>
        <w:t xml:space="preserve">La transizione non influisce negativamente sul servizio fornito.</w:t>
      </w:r>
    </w:p>
    <w:p>
      <w:pPr>
        <w:pStyle w:val="BodyText"/>
      </w:pPr>
      <w:r>
        <w:t xml:space="preserve">Su richiesta dello sponsor, il fornitore di servizi fornirà l’accesso al suo</w:t>
      </w:r>
      <w:r>
        <w:t xml:space="preserve"> </w:t>
      </w:r>
      <w:r>
        <w:t xml:space="preserve">regolamenti interni, alla sua carta etica, alle sanzioni applicabili</w:t>
      </w:r>
      <w:r>
        <w:t xml:space="preserve"> </w:t>
      </w:r>
      <w:r>
        <w:t xml:space="preserve">In caso di non conformità con la sua politica di sicurezza, per eventi il</w:t>
      </w:r>
      <w:r>
        <w:t xml:space="preserve"> </w:t>
      </w:r>
      <w:r>
        <w:t xml:space="preserve">per quanto riguarda le procedure relative al servizio e ai requisiti</w:t>
      </w:r>
      <w:r>
        <w:t xml:space="preserve"> </w:t>
      </w:r>
      <w:r>
        <w:t xml:space="preserve">sicurezza specifica.</w:t>
      </w:r>
    </w:p>
    <w:p>
      <w:pPr>
        <w:pStyle w:val="BodyText"/>
      </w:pPr>
      <w:r>
        <w:t xml:space="preserve">Il fornitore di servizi si impegna a informare lo sponsor di qualsiasi modifica</w:t>
      </w:r>
      <w:r>
        <w:t xml:space="preserve"> </w:t>
      </w:r>
      <w:r>
        <w:t xml:space="preserve">per venire su elementi software sotto la responsabilità del cloud</w:t>
      </w:r>
      <w:r>
        <w:t xml:space="preserve"> </w:t>
      </w:r>
      <w:r>
        <w:t xml:space="preserve">Il tempio purché la completa compatibilità non possa essere garantita.</w:t>
      </w:r>
    </w:p>
    <w:bookmarkEnd w:id="34"/>
    <w:bookmarkStart w:id="35" w:name="X367c4df94a40acb9edd71c10762b204fdd6b821"/>
    <w:p>
      <w:pPr>
        <w:pStyle w:val="Heading3"/>
      </w:pPr>
      <w:r>
        <w:t xml:space="preserve">10.2.Limitazione della responsabilità del fornitore</w:t>
      </w:r>
    </w:p>
    <w:p>
      <w:pPr>
        <w:pStyle w:val="FirstParagraph"/>
      </w:pPr>
      <w:r>
        <w:t xml:space="preserve">La struttura di responsabilità condivisa riduce efficacemente la misura</w:t>
      </w:r>
      <w:r>
        <w:t xml:space="preserve"> </w:t>
      </w:r>
      <w:r>
        <w:t xml:space="preserve">Dall’intervento del fornitore di servizi agli aspetti legati alla fornitura</w:t>
      </w:r>
      <w:r>
        <w:t xml:space="preserve"> </w:t>
      </w:r>
      <w:r>
        <w:t xml:space="preserve">Una piattaforma funzionale di OpenShift, che comprende:</w:t>
      </w:r>
    </w:p>
    <w:p>
      <w:pPr>
        <w:pStyle w:val="Compact"/>
        <w:numPr>
          <w:ilvl w:val="0"/>
          <w:numId w:val="1007"/>
        </w:numPr>
      </w:pPr>
      <w:r>
        <w:t xml:space="preserve">Gestione dell’infrastruttura IAAS che supporta la piattaforma</w:t>
      </w:r>
      <w:r>
        <w:t xml:space="preserve"> </w:t>
      </w:r>
      <w:r>
        <w:t xml:space="preserve">Redhat Openshift e il suo provisioning,</w:t>
      </w:r>
    </w:p>
    <w:p>
      <w:pPr>
        <w:pStyle w:val="Compact"/>
        <w:numPr>
          <w:ilvl w:val="0"/>
          <w:numId w:val="1007"/>
        </w:numPr>
      </w:pPr>
      <w:r>
        <w:t xml:space="preserve">La gestione dei sistemi necessari per il corretto funzionamento del</w:t>
      </w:r>
      <w:r>
        <w:t xml:space="preserve"> </w:t>
      </w:r>
      <w:r>
        <w:t xml:space="preserve">piattaforma,</w:t>
      </w:r>
    </w:p>
    <w:p>
      <w:pPr>
        <w:pStyle w:val="Compact"/>
        <w:numPr>
          <w:ilvl w:val="0"/>
          <w:numId w:val="1007"/>
        </w:numPr>
      </w:pPr>
      <w:r>
        <w:t xml:space="preserve">Mantenimento di condizioni di sicurezza,</w:t>
      </w:r>
    </w:p>
    <w:p>
      <w:pPr>
        <w:pStyle w:val="Compact"/>
        <w:numPr>
          <w:ilvl w:val="0"/>
          <w:numId w:val="1007"/>
        </w:numPr>
      </w:pPr>
      <w:r>
        <w:t xml:space="preserve">Aggiornamento della piattaforma Redhat OpenShift,</w:t>
      </w:r>
    </w:p>
    <w:p>
      <w:pPr>
        <w:pStyle w:val="Compact"/>
        <w:numPr>
          <w:ilvl w:val="0"/>
          <w:numId w:val="1007"/>
        </w:numPr>
      </w:pPr>
      <w:r>
        <w:t xml:space="preserve">Il backup dei dati di configurazione essenziali di questo</w:t>
      </w:r>
      <w:r>
        <w:t xml:space="preserve"> </w:t>
      </w:r>
      <w:r>
        <w:t xml:space="preserve">piattaforma, ad eccezione dei dati e delle applicazioni di</w:t>
      </w:r>
      <w:r>
        <w:t xml:space="preserve"> </w:t>
      </w:r>
      <w:r>
        <w:t xml:space="preserve">Sponsor che cade sotto la sua responsabilità.</w:t>
      </w:r>
    </w:p>
    <w:p>
      <w:pPr>
        <w:pStyle w:val="FirstParagraph"/>
      </w:pPr>
      <w:r>
        <w:t xml:space="preserve">Si esclude in particolare, ma senza limitarsi a se stessa:</w:t>
      </w:r>
    </w:p>
    <w:p>
      <w:pPr>
        <w:pStyle w:val="Compact"/>
        <w:numPr>
          <w:ilvl w:val="0"/>
          <w:numId w:val="1008"/>
        </w:numPr>
      </w:pPr>
      <w:r>
        <w:t xml:space="preserve">Aggiornamento dei sistemi operativi e del software installato</w:t>
      </w:r>
      <w:r>
        <w:t xml:space="preserve"> </w:t>
      </w:r>
      <w:r>
        <w:t xml:space="preserve">dallo sponsor nei suoi ambienti OpenShift nei suoi spazi</w:t>
      </w:r>
      <w:r>
        <w:t xml:space="preserve"> </w:t>
      </w:r>
      <w:r>
        <w:t xml:space="preserve">noleggio,</w:t>
      </w:r>
    </w:p>
    <w:p>
      <w:pPr>
        <w:pStyle w:val="Compact"/>
        <w:numPr>
          <w:ilvl w:val="0"/>
          <w:numId w:val="1008"/>
        </w:numPr>
      </w:pPr>
      <w:r>
        <w:t xml:space="preserve">La sicurezza di programmi, software e applicazioni installati in</w:t>
      </w:r>
      <w:r>
        <w:t xml:space="preserve"> </w:t>
      </w:r>
      <w:r>
        <w:t xml:space="preserve">All’interno dell’ambiente OpenShift da parte dello sponsor,</w:t>
      </w:r>
    </w:p>
    <w:p>
      <w:pPr>
        <w:pStyle w:val="Compact"/>
        <w:numPr>
          <w:ilvl w:val="0"/>
          <w:numId w:val="1008"/>
        </w:numPr>
      </w:pPr>
      <w:r>
        <w:t xml:space="preserve">Backup dei dati a livello di applicazione,</w:t>
      </w:r>
    </w:p>
    <w:p>
      <w:pPr>
        <w:pStyle w:val="Compact"/>
        <w:numPr>
          <w:ilvl w:val="0"/>
          <w:numId w:val="1008"/>
        </w:numPr>
      </w:pPr>
      <w:r>
        <w:t xml:space="preserve">La configurazione delle politiche di salvaguardia.</w:t>
      </w:r>
    </w:p>
    <w:bookmarkEnd w:id="35"/>
    <w:bookmarkStart w:id="36" w:name="limitazione-di-accesso"/>
    <w:p>
      <w:pPr>
        <w:pStyle w:val="Heading3"/>
      </w:pPr>
      <w:r>
        <w:t xml:space="preserve">10.3.Limitazione di accesso</w:t>
      </w:r>
    </w:p>
    <w:p>
      <w:pPr>
        <w:pStyle w:val="FirstParagraph"/>
      </w:pPr>
      <w:r>
        <w:t xml:space="preserve">Come parte del presente accordo di servizio, il fornitore di servizi è</w:t>
      </w:r>
      <w:r>
        <w:t xml:space="preserve"> </w:t>
      </w:r>
      <w:r>
        <w:t xml:space="preserve">formalmente vietato di accedere ai sostenitori appartenenti al</w:t>
      </w:r>
      <w:r>
        <w:t xml:space="preserve"> </w:t>
      </w:r>
      <w:r>
        <w:t xml:space="preserve">Sponsor senza previa autorizzazione.È responsabilità</w:t>
      </w:r>
      <w:r>
        <w:t xml:space="preserve"> </w:t>
      </w:r>
      <w:r>
        <w:t xml:space="preserve">dello sponsor per fornire l’accesso necessario al personale di</w:t>
      </w:r>
      <w:r>
        <w:t xml:space="preserve"> </w:t>
      </w:r>
      <w:r>
        <w:t xml:space="preserve">Fornitore, secondo le esigenze specifiche della sistemazione e del caso</w:t>
      </w:r>
      <w:r>
        <w:t xml:space="preserve"> </w:t>
      </w:r>
      <w:r>
        <w:t xml:space="preserve">Servizi di supporto professionale correlati, se questa opzione è stata</w:t>
      </w:r>
      <w:r>
        <w:t xml:space="preserve"> </w:t>
      </w:r>
      <w:r>
        <w:t xml:space="preserve">scelto dallo sponsor.</w:t>
      </w:r>
    </w:p>
    <w:p>
      <w:pPr>
        <w:pStyle w:val="BodyText"/>
      </w:pPr>
      <w:r>
        <w:t xml:space="preserve">Lo sponsor riconosce che questi accessi sono concessi esclusivamente</w:t>
      </w:r>
      <w:r>
        <w:t xml:space="preserve"> </w:t>
      </w:r>
      <w:r>
        <w:t xml:space="preserve">per le esigenze relative alla fornitura di servizi concordati, garantendo</w:t>
      </w:r>
      <w:r>
        <w:t xml:space="preserve"> </w:t>
      </w:r>
      <w:r>
        <w:t xml:space="preserve">Pertanto una gestione sicura e in conformità con i termini dell’accordo.</w:t>
      </w:r>
    </w:p>
    <w:p>
      <w:pPr>
        <w:pStyle w:val="BodyText"/>
      </w:pPr>
      <w:r>
        <w:t xml:space="preserve">Accesso distante da terzi coinvolti nella fornitura di servizio</w:t>
      </w:r>
      <w:r>
        <w:t xml:space="preserve"> </w:t>
      </w:r>
      <w:r>
        <w:t xml:space="preserve">del fornitore è severamente proibito.Nel caso in cui a</w:t>
      </w:r>
      <w:r>
        <w:t xml:space="preserve"> </w:t>
      </w:r>
      <w:r>
        <w:t xml:space="preserve">Requisiti tecnici specifici richiederebbe tale accesso, questo</w:t>
      </w:r>
      <w:r>
        <w:t xml:space="preserve"> </w:t>
      </w:r>
      <w:r>
        <w:t xml:space="preserve">si potrebbe stabilire che dopo aver chiaramente informato il</w:t>
      </w:r>
      <w:r>
        <w:t xml:space="preserve"> </w:t>
      </w:r>
      <w:r>
        <w:t xml:space="preserve">Sponsor, ha fornito una giustificazione dettagliata e ottenuto il suo accordo</w:t>
      </w:r>
      <w:r>
        <w:t xml:space="preserve"> </w:t>
      </w:r>
      <w:r>
        <w:t xml:space="preserve">scrivere.</w:t>
      </w:r>
    </w:p>
    <w:p>
      <w:pPr>
        <w:pStyle w:val="BodyText"/>
      </w:pPr>
      <w:r>
        <w:t xml:space="preserve">Questa misura garantisce il controllo e la sicurezza dei dati da</w:t>
      </w:r>
      <w:r>
        <w:t xml:space="preserve"> </w:t>
      </w:r>
      <w:r>
        <w:t xml:space="preserve">Sponsor, garantendo che qualsiasi eccezione alla regola sia debitamente</w:t>
      </w:r>
      <w:r>
        <w:t xml:space="preserve"> </w:t>
      </w:r>
      <w:r>
        <w:t xml:space="preserve">autorizzato e documentato.</w:t>
      </w:r>
    </w:p>
    <w:bookmarkEnd w:id="36"/>
    <w:bookmarkEnd w:id="37"/>
    <w:bookmarkStart w:id="38" w:name="cancella-i-dati-alla-fine-del-contratto"/>
    <w:p>
      <w:pPr>
        <w:pStyle w:val="Heading2"/>
      </w:pPr>
      <w:r>
        <w:t xml:space="preserve">11. Cancella i dati alla fine del contratto</w:t>
      </w:r>
    </w:p>
    <w:p>
      <w:pPr>
        <w:pStyle w:val="FirstParagraph"/>
      </w:pPr>
      <w:r>
        <w:t xml:space="preserve">Alla fine del contratto, che conta o che sia risolto</w:t>
      </w:r>
      <w:r>
        <w:t xml:space="preserve"> </w:t>
      </w:r>
      <w:r>
        <w:t xml:space="preserve">Per qualsiasi motivo, il fornitore di servizi si impegna a procedere a</w:t>
      </w:r>
      <w:r>
        <w:t xml:space="preserve"> </w:t>
      </w:r>
      <w:r>
        <w:t xml:space="preserve">La cancellazione sicura dell’intero dati dello sponsor, y</w:t>
      </w:r>
      <w:r>
        <w:t xml:space="preserve"> </w:t>
      </w:r>
      <w:r>
        <w:t xml:space="preserve">compresi i dati tecnici.Il fornitore garantirà</w:t>
      </w:r>
      <w:r>
        <w:t xml:space="preserve"> </w:t>
      </w:r>
      <w:r>
        <w:t xml:space="preserve">comunicare allo sponsor un avviso formale, rispettando un periodo di</w:t>
      </w:r>
      <w:r>
        <w:t xml:space="preserve"> </w:t>
      </w:r>
      <w:r>
        <w:t xml:space="preserve">Ventuno (21) giorni di calendario.I dati dello sponsor saranno</w:t>
      </w:r>
      <w:r>
        <w:t xml:space="preserve"> </w:t>
      </w:r>
      <w:r>
        <w:t xml:space="preserve">quindi cancellato entro un periodo massimo di trenta (30) giorni seguenti</w:t>
      </w:r>
      <w:r>
        <w:t xml:space="preserve"> </w:t>
      </w:r>
      <w:r>
        <w:t xml:space="preserve">Questa notifica.</w:t>
      </w:r>
    </w:p>
    <w:p>
      <w:pPr>
        <w:pStyle w:val="BodyText"/>
      </w:pPr>
      <w:r>
        <w:t xml:space="preserve">Per attestare questa cancellazione, il fornitore darà al</w:t>
      </w:r>
      <w:r>
        <w:t xml:space="preserve"> </w:t>
      </w:r>
      <w:r>
        <w:t xml:space="preserve">Sponsorizzare un certificato che conferma la cancellazione dei dati.</w:t>
      </w:r>
    </w:p>
    <w:bookmarkEnd w:id="38"/>
    <w:bookmarkStart w:id="39" w:name="legge-applicabile"/>
    <w:p>
      <w:pPr>
        <w:pStyle w:val="Heading2"/>
      </w:pPr>
      <w:r>
        <w:t xml:space="preserve">12. Legge applicabile</w:t>
      </w:r>
    </w:p>
    <w:p>
      <w:pPr>
        <w:pStyle w:val="FirstParagraph"/>
      </w:pPr>
      <w:r>
        <w:t xml:space="preserve">La legge applicabile per l’attuale contratto di servizio è la legge</w:t>
      </w:r>
      <w:r>
        <w:t xml:space="preserve"> </w:t>
      </w:r>
      <w:r>
        <w:t xml:space="preserve">Francese.</w:t>
      </w:r>
    </w:p>
    <w:p>
      <w:pPr>
        <w:pStyle w:val="BodyText"/>
      </w:pPr>
      <w:r>
        <w:t xml:space="preserve">In caso di ricorso da parte del fornitore di servizi, come parte dei servizi forniti</w:t>
      </w:r>
      <w:r>
        <w:t xml:space="preserve"> </w:t>
      </w:r>
      <w:r>
        <w:t xml:space="preserve">allo sponsor, a una società di terze parti, incluso un subappaltatore, di cui</w:t>
      </w:r>
      <w:r>
        <w:t xml:space="preserve"> </w:t>
      </w:r>
      <w:r>
        <w:t xml:space="preserve">la sede centrale, l’amministrazione centrale o il principale</w:t>
      </w:r>
      <w:r>
        <w:t xml:space="preserve"> </w:t>
      </w:r>
      <w:r>
        <w:t xml:space="preserve">Lo stabilimento si trova in un non -membro dell’Unione europea,</w:t>
      </w:r>
      <w:r>
        <w:t xml:space="preserve"> </w:t>
      </w:r>
      <w:r>
        <w:t xml:space="preserve">o chi è proprietà o sotto il controllo di una società di terze parti</w:t>
      </w:r>
      <w:r>
        <w:t xml:space="preserve"> </w:t>
      </w:r>
      <w:r>
        <w:t xml:space="preserve">domiciliato al di fuori dell’Unione europea, il fornitore di servizi è impegnato</w:t>
      </w:r>
      <w:r>
        <w:t xml:space="preserve"> </w:t>
      </w:r>
      <w:r>
        <w:t xml:space="preserve">Assicurarsi che detta azienda terzo non abbia accesso ai dati</w:t>
      </w:r>
      <w:r>
        <w:t xml:space="preserve"> </w:t>
      </w:r>
      <w:r>
        <w:t xml:space="preserve">elaborato dal fornitore di servizi.</w:t>
      </w:r>
    </w:p>
    <w:p>
      <w:pPr>
        <w:pStyle w:val="BodyText"/>
      </w:pPr>
      <w:r>
        <w:t xml:space="preserve">Va notato che i dati a cui si fa riferimento</w:t>
      </w:r>
      <w:r>
        <w:t xml:space="preserve"> </w:t>
      </w:r>
      <w:r>
        <w:t xml:space="preserve">Provider dello sponsor, nonché tutti i dati</w:t>
      </w:r>
      <w:r>
        <w:t xml:space="preserve"> </w:t>
      </w:r>
      <w:r>
        <w:t xml:space="preserve">tecniche come identità dei beneficiari e</w:t>
      </w:r>
      <w:r>
        <w:t xml:space="preserve"> </w:t>
      </w:r>
      <w:r>
        <w:t xml:space="preserve">Amministratori dell’infrastruttura tecnica, i dati manipolati</w:t>
      </w:r>
      <w:r>
        <w:t xml:space="preserve"> </w:t>
      </w:r>
      <w:r>
        <w:t xml:space="preserve">da reti, giornali dell’infrastruttura tecnica,</w:t>
      </w:r>
      <w:r>
        <w:t xml:space="preserve"> </w:t>
      </w:r>
      <w:r>
        <w:t xml:space="preserve">directory, certificati, configurazione di accesso, ecc.</w:t>
      </w:r>
      <w:r>
        <w:t xml:space="preserve"> </w:t>
      </w:r>
      <w:r>
        <w:t xml:space="preserve">contenente informazioni sullo sponsor.</w:t>
      </w:r>
    </w:p>
    <w:p>
      <w:pPr>
        <w:pStyle w:val="BodyText"/>
      </w:pPr>
      <w:r>
        <w:t xml:space="preserve">Per precisione, il concetto di controllo è definito in conformità con il II di</w:t>
      </w:r>
      <w:r>
        <w:t xml:space="preserve"> </w:t>
      </w:r>
      <w:r>
        <w:t xml:space="preserve">Articolo L233-3 del codice commerciale.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2025-03-19T16:17:42Z</dcterms:created>
  <dcterms:modified xsi:type="dcterms:W3CDTF">2025-03-19T16:17:42Z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