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Software Requirements Specification (SRS) - Old Car Listing WebApp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Document Version: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October 25, 2025 (Old Car Listing - Dual Credit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Prepared by: Gemini (Expert Consultant)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Project Goal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goal of this project is to develop a user-centric </w:t>
      </w:r>
      <w:r w:rsidDel="00000000" w:rsidR="00000000" w:rsidRPr="00000000">
        <w:rPr>
          <w:rFonts w:ascii="Google Sans Text" w:cs="Google Sans Text" w:eastAsia="Google Sans Text" w:hAnsi="Google Sans Text"/>
          <w:b w:val="1"/>
          <w:color w:val="1b1c1d"/>
          <w:rtl w:val="0"/>
        </w:rPr>
        <w:t xml:space="preserve">old car listing web application</w:t>
      </w:r>
      <w:r w:rsidDel="00000000" w:rsidR="00000000" w:rsidRPr="00000000">
        <w:rPr>
          <w:rFonts w:ascii="Google Sans Text" w:cs="Google Sans Text" w:eastAsia="Google Sans Text" w:hAnsi="Google Sans Text"/>
          <w:color w:val="1b1c1d"/>
          <w:rtl w:val="0"/>
        </w:rPr>
        <w:t xml:space="preserve"> that facilitates connections between car sellers/owners and potential buyers. The platform will operate on a dual credit-based consumption model: sellers consume credits to list vehicles, and buyers consume credits to generate sales leads (access contact details). The application aims to be a robust, scalable marketplace capable of handling high transaction volumes from launch.</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Scope and Audience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details the functional and non-functional requirements necessary for the platform's initial release, focusing on core marketplace functions, authentication, and the critical credit mechanism. The primary audience for this SRS includes the development team, QA specialists, product managers, and business stakeholders, serving as the single source of truth for the minimum viable product (MVP) delivery.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Functional Requirements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User Authentication and Onboarding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Sign-up Process: The system shall allow users to register using email/password, validating input for format, password strength (including complexity rules), and email uniqueness in real-time. It must also support modern Social Sign-On (SSO) options like Google and Apple for accelerated user adoption, significantly reducing registration friction and improving conversion rates.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Account Verification: The system shall require email confirmation or phone number verification (using a one-time passcode/OTP) to activate the account. The user's account state must remain 'unverified' and restricted from transactional activities (like listing or consuming credits) until this process is completed, mitigating spam accounts and preventing unauthorized access and misuse of promotional credits.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 Credit Allocation (CRITICAL): Upon the first successful login after registration, the system MUST automatically allocate 10 complimentary credits to the new user's account balance. This one-time action ensures new users can immediately interact with the core monetization features (listing and lead generation) and validates the credit deduction logic, with the allocation event strictly logged internally with metadata (date, source 'promo', quantity, user 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Login Process: The system shall provide secure login via verified credentials or social sign-on. Secure authentication must utilize industry-standard hashing (e.g., bcrypt) and encryption protocols (e.g., JWT for session management) and offer standard 'Forgot Password' functionality via a secure, time-limited reset link sent to the registered email address.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Car Listing and Management (Seller Cost)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Listing Submission &amp; Credit Check (CRITICAL): Logged-in users (sellers) shall be able to submit a new car listing via a guided multi-step form. Before final submission, the system MUST verify the seller has a credit balance of at least 2 credits. The form should clearly state that listing costs 2 credits and include robust client-side validation for necessary fields before server submission.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Deduction for Listing (CRITICAL): If the credit balance is sufficient, the system MUST immediately deduct 2 credits from the seller’s account balance upon successful submission of the listing. This deduction must be an atomic transaction recorded in an immutable ledger with the listing ID, ensuring financial integrity and preventing unauthorized listing. If the balance is insufficient, the submission must fail, and the seller must be directed to purchase more credits (2.4.1).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Required Fields: The form shall include mandatory fields for vehicle year, make, model, mileage, selling price, detailed description, high-resolution images (minimum 5, maximum 20), and seller contact information (phone/email). Image uploads must handle various formats efficiently and include automatic thumbnail generation for optimal display performance.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Lister Tag Selection (CRITICAL): The listing form MUST require the seller to select one of two exclusive tags for the vehicle: "AgentListed" or "OwnerListed." This metadata is crucial for buyer trust, platform filtering, and future data analysis; the selection cannot be modified without a formal administrative review process to maintain marketplace integrity.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Listing Management: Users shall be able to view, edit, mark as sold, or unlist any vehicle they have created (accessible via the My Listings tab - see 2.5.2.2). The seller's dashboard must provide intuitive controls to manage the listing status, quick links for editing details, and real-time visibility metrics (views, saves, clicks on "Show Number") instantly. Editing an existing listing should NOT incur a new credit charge.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Search &amp; Filter: Website visitors shall be able to search and filter vehicles based on make, model, year range, price range, mileage, and the "AgentListed" or "OwnerListed" tag. The underlying search index must be optimized for fast, relevant results using type-ahead suggestions, supporting advanced multi-selection filtering, and sorting options (newest, price, mileage).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Credit Consumption and Lead Generation (Buyer Cost)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details the core monetization and lead generation mechanism.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Contact Button Visibility (CRITICAL): For all car listings, the primary call-to-action button for accessing the seller's contact information shall be labeled "Show Number." This button must only be visible to logged-in users who possess a positive credit balance (Credit Count &gt; 0), and must explicitly display the 2-credit cost transparently adjacent to the button text to manage user expectations.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Check (CRITICAL): Upon clicking the "Show Number" button, the system MUST first verify if the user's current credit balance is greater than or equal to 2 credits. This verification must be an atomic operation integrated with the deduction logic, occurring immediately prior to the transaction to prevent any potential negative balances.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Deduction (CRITICAL): If the credit balance is sufficient, the system MUST immediately deduct 2 credits from the user’s account. The deduction must be recorded in an immutable ledger with comprehensive details including a unique transaction ID, user balance before/after, timestamp, the specific car ID, and the server process ID for financial auditing and non-repudiation.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Contact Display: After successful deduction, the system shall immediately display the car seller's phone number and/or email address. This contact information must be clearly presented in a confirmation modal or designated area, and must remain accessible within the user's transaction history view for future reference without further cost.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Automated Email Trigger: Concurrently with the credit deduction (2.3.3), the system MUST trigger an automated email containing the car details (link, seller name, listing title, full description) and a transaction confirmation to the logged-in user's registered email address. The email serves as a purchase receipt, a persistent record of the lead, and must be sent via a highly reliable, monitored transactional email service.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Insufficient Credit: If the user has fewer than 2 credits, the system shall display a non-disruptive, in-app notification (e.g., a toast or alert bar) indicating the insufficient balance. This message must be concise, clearly state the required credit amount, and provide a direct, high-contrast link to the Purchase Credits tab (see 2.4.1) to guide the user to the monetization flow without interrupting their browsing session severely.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Credit Management and Purchase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Purchase Access: The option to purchase additional credits shall be prominently accessible via a dedicated tab within the Profile Icon Dropdown labeled "Purchase Credits." This interface should be designed for quick completion with minimal steps on both desktop and mobile, ensuring a seamless and responsive payment funnel.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Packages: The system shall offer multiple, distinct credit packages (e.g., 20 credits, 50 credits, 120 credits) with associated pricing. Packages should incorporate volume discounts (tiered pricing, where the cost per credit decreases with package size) to incentivize larger purchases, with prices dynamically displayed in the user's localized currency determined by their IP or account region settings.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Integration: The system MUST integrate with at least two major, globally recognized payment gateways (e.g., Stripe, PayPal, or local equivalent) to process credit card/digital wallet transactions securely. This integration must handle secure tokenization of payment data and utilize webhooks for robust transaction fulfillment, status updates, and timely error management.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Instant Allocation (CRITICAL): Upon successful payment confirmation from the gateway, the purchased credits MUST be allocated to the user's account balance instantly (within 5 seconds). Fulfillment must be verified via the payment gateway's webhook response before the credits are applied and the user's visible balance is updated to maintain financial integrity.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History: Users shall be able to view a detailed, filterable history of all credit purchases and consumption events (including date, time, credit amount/deduction, and a descriptive label). The view must clearly distinguish between purchases (showing payment method) and consumption, referencing the associated car ID for consumed credits or transaction ID for listing credits.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Profile and Account Management Structure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navigation element for user account management shall be a </w:t>
      </w:r>
      <w:r w:rsidDel="00000000" w:rsidR="00000000" w:rsidRPr="00000000">
        <w:rPr>
          <w:rFonts w:ascii="Google Sans Text" w:cs="Google Sans Text" w:eastAsia="Google Sans Text" w:hAnsi="Google Sans Text"/>
          <w:b w:val="1"/>
          <w:color w:val="1b1c1d"/>
          <w:rtl w:val="0"/>
        </w:rPr>
        <w:t xml:space="preserve">Profile Icon</w:t>
      </w:r>
      <w:r w:rsidDel="00000000" w:rsidR="00000000" w:rsidRPr="00000000">
        <w:rPr>
          <w:rFonts w:ascii="Google Sans Text" w:cs="Google Sans Text" w:eastAsia="Google Sans Text" w:hAnsi="Google Sans Text"/>
          <w:color w:val="1b1c1d"/>
          <w:rtl w:val="0"/>
        </w:rPr>
        <w:t xml:space="preserve"> (e.g., a user avatar or simple silhouette) located at the </w:t>
      </w:r>
      <w:r w:rsidDel="00000000" w:rsidR="00000000" w:rsidRPr="00000000">
        <w:rPr>
          <w:rFonts w:ascii="Google Sans Text" w:cs="Google Sans Text" w:eastAsia="Google Sans Text" w:hAnsi="Google Sans Text"/>
          <w:b w:val="1"/>
          <w:color w:val="1b1c1d"/>
          <w:rtl w:val="0"/>
        </w:rPr>
        <w:t xml:space="preserve">Top Right Corner</w:t>
      </w:r>
      <w:r w:rsidDel="00000000" w:rsidR="00000000" w:rsidRPr="00000000">
        <w:rPr>
          <w:rFonts w:ascii="Google Sans Text" w:cs="Google Sans Text" w:eastAsia="Google Sans Text" w:hAnsi="Google Sans Text"/>
          <w:color w:val="1b1c1d"/>
          <w:rtl w:val="0"/>
        </w:rPr>
        <w:t xml:space="preserve"> of the application header.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Dropdown Access (CRITICAL): Clicking the Profile Icon shall reveal a persistent dropdown menu showing the current credit balance prominently at the top, immediately below the user's name or email. This menu serves as a quick status check and the central, contextual navigation hub for all account and monetization settings.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2.5.2. </w:t>
      </w:r>
      <w:r w:rsidDel="00000000" w:rsidR="00000000" w:rsidRPr="00000000">
        <w:rPr>
          <w:rFonts w:ascii="Google Sans Text" w:cs="Google Sans Text" w:eastAsia="Google Sans Text" w:hAnsi="Google Sans Text"/>
          <w:b w:val="1"/>
          <w:color w:val="1b1c1d"/>
          <w:rtl w:val="0"/>
        </w:rPr>
        <w:t xml:space="preserve">Dropdown Tabs (CRITICAL):</w:t>
      </w:r>
      <w:r w:rsidDel="00000000" w:rsidR="00000000" w:rsidRPr="00000000">
        <w:rPr>
          <w:rFonts w:ascii="Google Sans Text" w:cs="Google Sans Text" w:eastAsia="Google Sans Text" w:hAnsi="Google Sans Text"/>
          <w:color w:val="1b1c1d"/>
          <w:rtl w:val="0"/>
        </w:rPr>
        <w:t xml:space="preserve"> The dropdown menu shall contain, at minimum, the following navigation tabs: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2.5.2.1.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Profile: Allows the user to view and edit personal details (Name, Email, Phone, Password). The editing interface must utilize robust form validation, secure two-step processes for changing sensitive fields like email/password, and allow users to manage their communication and email notification preferences (e.g., promotional alerts).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2.5.2.2.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Listings: Directs the user to a dashboard to manage their listed cars (view 2.2.5). This dedicated hub must provide quick statistics, such as listing views, contact reveals, and overall performance metrics, for sellers to effectively track ROI and listing engagement.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Purchase Credits: Directs the user to the credit purchase workflow (view 2.4.1). This tab must dynamically present the available credit packages, clearly showing the associated pricing and volume discounts, and initiate the secure payment flow upon selection.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Logout: A clear and distinct "Logout" option shall be included at the bottom of the dropdown menu. The logout action must securely terminate the user's session on the server side, invalidate all active session tokens, and clear any associated local authentication artifacts.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Non-Functional Requirements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Performance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Latency: All car search queries and credit transactions must complete within 500ms under standard load conditions, and not exceed 1000ms during peak load. High-speed response is mandatory for a positive user experience, achieved through optimized database indexing, read-replicas, and efficient content delivery network (CDN) caching for static assets.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Concurrency: The credit deduction mechanisms (2.2.2 and 2.3.3) must be capable of handling 1,000 concurrent transactions per second without data inconsistency or degradation of service. This necessitates utilizing database transaction isolation levels (e.g., serializable), optimistic locking, or a resilient, queue-based processing system (like Apache Kafka) to prevent race conditions during credit updates.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Availability: The application must maintain 99.9% uptime (excluding scheduled maintenance) across all critical functional components. The architecture should utilize redundant, multi-region infrastructure, automated load balancing, and immediate failover mechanisms to ensure maximum reliability and minimal downtime exposure.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Security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Encryption: All sensitive user data (passwords, payment information, contact numbers, PII) must be encrypted both in transit (mandatory TLS/SSL v1.2+) and at rest (AES-256 standard). Personal Identifiable Information (PII) must be tokenized or pseudonymized whenever possible within the application's storage layer to minimize exposure in case of a data breach.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Credit Integrity: The credit balance must be stored and managed securely to prevent unauthorized manipulation (e.g., using a dedicated financial ledger service or an immutable, cryptographically-linked audit trail). Regular internal audits should be performed to compare the user's live balance against the historical ledger, with automated alerts for any detected discrepancies.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Payment Compliance: Payment processing must adhere strictly to PCI DSS compliance standards (via integration with certified gateways). Integration must be strictly handled through tokenization, ensuring the application itself never stores, transmits, or processes raw credit card data on its servers.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Scalability and Maintainability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Cloud Native: The application architecture shall be deployed using cloud-native services (e.g., microservices, containerization with Kubernetes, serverless functions) to ensure flexible, horizontal scalability across global markets without major refactoring. Infrastructure as Code (IaC) principles (e.g., Terraform or CloudFormation) should be utilized for environment reproducibility and rapid, consistent deployment cycles.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 Standards: The codebase must adhere rigorously to established industry best practices (e.g., SOLID principles, language-specific linting rules), undergo mandatory peer code reviews before merging, and maintain at least 90% unit test and integration test coverage. This adherence ensures long-term system stability, easier developer onboarding, and minimized technical debt.</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User Interface and Experience (UI/UX) Recommendations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Transparency and Trust</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Credit Visibility:</w:t>
      </w:r>
      <w:r w:rsidDel="00000000" w:rsidR="00000000" w:rsidRPr="00000000">
        <w:rPr>
          <w:rFonts w:ascii="Google Sans Text" w:cs="Google Sans Text" w:eastAsia="Google Sans Text" w:hAnsi="Google Sans Text"/>
          <w:color w:val="1b1c1d"/>
          <w:rtl w:val="0"/>
        </w:rPr>
        <w:t xml:space="preserve"> The user's current credit balance </w:t>
      </w:r>
      <w:r w:rsidDel="00000000" w:rsidR="00000000" w:rsidRPr="00000000">
        <w:rPr>
          <w:rFonts w:ascii="Google Sans Text" w:cs="Google Sans Text" w:eastAsia="Google Sans Text" w:hAnsi="Google Sans Text"/>
          <w:b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 be displayed prominently and persistently in the application header, typically fixed alongside the profile icon. This ensures constant transparency regarding their account status, serving as a permanent reminder of their credit purchasing power.</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Dual Cost Clarity:</w:t>
      </w:r>
      <w:r w:rsidDel="00000000" w:rsidR="00000000" w:rsidRPr="00000000">
        <w:rPr>
          <w:rFonts w:ascii="Google Sans Text" w:cs="Google Sans Text" w:eastAsia="Google Sans Text" w:hAnsi="Google Sans Text"/>
          <w:color w:val="1b1c1d"/>
          <w:rtl w:val="0"/>
        </w:rPr>
        <w:t xml:space="preserve"> The listing form must clearly show the </w:t>
      </w:r>
      <w:r w:rsidDel="00000000" w:rsidR="00000000" w:rsidRPr="00000000">
        <w:rPr>
          <w:rFonts w:ascii="Google Sans Text" w:cs="Google Sans Text" w:eastAsia="Google Sans Text" w:hAnsi="Google Sans Text"/>
          <w:b w:val="1"/>
          <w:color w:val="1b1c1d"/>
          <w:rtl w:val="0"/>
        </w:rPr>
        <w:t xml:space="preserve">2-credit listing cost</w:t>
      </w:r>
      <w:r w:rsidDel="00000000" w:rsidR="00000000" w:rsidRPr="00000000">
        <w:rPr>
          <w:rFonts w:ascii="Google Sans Text" w:cs="Google Sans Text" w:eastAsia="Google Sans Text" w:hAnsi="Google Sans Text"/>
          <w:color w:val="1b1c1d"/>
          <w:rtl w:val="0"/>
        </w:rPr>
        <w:t xml:space="preserve"> to the seller, and the "Show Number" button must clearly show the </w:t>
      </w:r>
      <w:r w:rsidDel="00000000" w:rsidR="00000000" w:rsidRPr="00000000">
        <w:rPr>
          <w:rFonts w:ascii="Google Sans Text" w:cs="Google Sans Text" w:eastAsia="Google Sans Text" w:hAnsi="Google Sans Text"/>
          <w:b w:val="1"/>
          <w:color w:val="1b1c1d"/>
          <w:rtl w:val="0"/>
        </w:rPr>
        <w:t xml:space="preserve">2-credit consumption cost</w:t>
      </w:r>
      <w:r w:rsidDel="00000000" w:rsidR="00000000" w:rsidRPr="00000000">
        <w:rPr>
          <w:rFonts w:ascii="Google Sans Text" w:cs="Google Sans Text" w:eastAsia="Google Sans Text" w:hAnsi="Google Sans Text"/>
          <w:color w:val="1b1c1d"/>
          <w:rtl w:val="0"/>
        </w:rPr>
        <w:t xml:space="preserve"> to the buyer. This dual transparency is essential for the platform's financial model.</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Confirmation:</w:t>
      </w:r>
      <w:r w:rsidDel="00000000" w:rsidR="00000000" w:rsidRPr="00000000">
        <w:rPr>
          <w:rFonts w:ascii="Google Sans Text" w:cs="Google Sans Text" w:eastAsia="Google Sans Text" w:hAnsi="Google Sans Text"/>
          <w:color w:val="1b1c1d"/>
          <w:rtl w:val="0"/>
        </w:rPr>
        <w:t xml:space="preserve"> After clicking "Show Number," display a minimal, non-modal confirmation message (e.g., a toast notification) stating: </w:t>
      </w:r>
      <w:r w:rsidDel="00000000" w:rsidR="00000000" w:rsidRPr="00000000">
        <w:rPr>
          <w:rFonts w:ascii="Google Sans Text" w:cs="Google Sans Text" w:eastAsia="Google Sans Text" w:hAnsi="Google Sans Text"/>
          <w:i w:val="1"/>
          <w:color w:val="1b1c1d"/>
          <w:rtl w:val="0"/>
        </w:rPr>
        <w:t xml:space="preserve">"Contact revealed. 2 credits deducted. Details emailed to you."</w:t>
      </w:r>
      <w:r w:rsidDel="00000000" w:rsidR="00000000" w:rsidRPr="00000000">
        <w:rPr>
          <w:rFonts w:ascii="Google Sans Text" w:cs="Google Sans Text" w:eastAsia="Google Sans Text" w:hAnsi="Google Sans Text"/>
          <w:color w:val="1b1c1d"/>
          <w:rtl w:val="0"/>
        </w:rPr>
        <w:t xml:space="preserve"> This immediately confirms the action and reinforces the value exchange.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Lister Tag Clarity:</w:t>
      </w:r>
      <w:r w:rsidDel="00000000" w:rsidR="00000000" w:rsidRPr="00000000">
        <w:rPr>
          <w:rFonts w:ascii="Google Sans Text" w:cs="Google Sans Text" w:eastAsia="Google Sans Text" w:hAnsi="Google Sans Text"/>
          <w:color w:val="1b1c1d"/>
          <w:rtl w:val="0"/>
        </w:rPr>
        <w:t xml:space="preserve"> The "AgentListed" or "OwnerListed" tags must be styled distinctly (e.g., different background colors, clear iconography) on the car listing cards. This provides immediate, unambiguous information to the buyer, helping build trust and aiding in quick filtering decisions based on their preferred seller type.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Interaction and Flow</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Fluid Navigation:</w:t>
      </w:r>
      <w:r w:rsidDel="00000000" w:rsidR="00000000" w:rsidRPr="00000000">
        <w:rPr>
          <w:rFonts w:ascii="Google Sans Text" w:cs="Google Sans Text" w:eastAsia="Google Sans Text" w:hAnsi="Google Sans Text"/>
          <w:color w:val="1b1c1d"/>
          <w:rtl w:val="0"/>
        </w:rPr>
        <w:t xml:space="preserve"> Ensure the Profile Icon Dropdown (2.5) is easily accessible and renders immediately on both mouse click and touch interactions across all device sizes. The navigation should be quick and intuitive, adhering to established conventions to prevent user confusion.</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Guided Listing:</w:t>
      </w:r>
      <w:r w:rsidDel="00000000" w:rsidR="00000000" w:rsidRPr="00000000">
        <w:rPr>
          <w:rFonts w:ascii="Google Sans Text" w:cs="Google Sans Text" w:eastAsia="Google Sans Text" w:hAnsi="Google Sans Text"/>
          <w:color w:val="1b1c1d"/>
          <w:rtl w:val="0"/>
        </w:rPr>
        <w:t xml:space="preserve"> The Car Submission form (2.2) should use clear progress indicators (e.g., a multi-step timeline) and helpful, inline validation messages to guide the seller through the process and minimize abandonment. Break complex data entry steps into smaller, manageable sections to reduce cognitive load.</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Mobile-First Design:</w:t>
      </w:r>
      <w:r w:rsidDel="00000000" w:rsidR="00000000" w:rsidRPr="00000000">
        <w:rPr>
          <w:rFonts w:ascii="Google Sans Text" w:cs="Google Sans Text" w:eastAsia="Google Sans Text" w:hAnsi="Google Sans Text"/>
          <w:color w:val="1b1c1d"/>
          <w:rtl w:val="0"/>
        </w:rPr>
        <w:t xml:space="preserve"> All UI components, especially the credit purchase workflow, car listing cards, and search filters, must be designed and optimized for mobile devices </w:t>
      </w:r>
      <w:r w:rsidDel="00000000" w:rsidR="00000000" w:rsidRPr="00000000">
        <w:rPr>
          <w:rFonts w:ascii="Google Sans Text" w:cs="Google Sans Text" w:eastAsia="Google Sans Text" w:hAnsi="Google Sans Text"/>
          <w:i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desktop layout is finalized. This ensures optimal usability, touch target sizing, and performance for the majority of modern web traffic.</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Accessibility</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application must adhere to WCAG 2.1 Level AA guidelines to ensure maximum accessibility for all users, including those relying on assistive technologies. Key considerations include ensuring full keyboard navigation support, maintaining adequate color contrast across all elements, and using proper semantic HTML structure (e.g., ARIA roles) for screen reader compatibility.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