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tbl>
      <w:tblPr>
        <w:tblW w:w="0" w:type="auto"/>
        <w:tblBorders>
          <w:top w:val="nil"/>
          <w:left w:val="nil"/>
          <w:bottom w:val="nil"/>
          <w:right w:val="nil"/>
          <w:insideH w:val="nil"/>
          <w:insideV w:val="nil"/>
        </w:tblBorders>
      </w:tblPr>
      <w:tblGrid>
        <w:gridCol w:w="1300"/>
        <w:gridCol w:w="8000"/>
      </w:tblGrid>
      <w:tr>
        <w:tc>
          <w:tcPr>
            <w:shd w:fill="071E3A"/>
            <w:tcW w:w="1300" w:type="dxa"/>
          </w:tcPr>
          <w:p>
            <w:pPr>
              <w:jc w:val="center"/>
              <w:spacing w:before="160" w:after="160"/>
            </w:pPr>
            <w:r>
              <w:rPr>
                <w:b/>
                <w:color w:val="FFFFFF"/>
                <w:sz w:val="38"/>
              </w:rPr>
              <w:t>N</w:t>
            </w:r>
          </w:p>
        </w:tc>
        <w:tc>
          <w:tcPr>
            <w:tcW w:w="8000" w:type="dxa"/>
          </w:tcPr>
          <w:p>
            <w:r>
              <w:rPr>
                <w:b/>
                <w:color w:val="071E3A"/>
                <w:sz w:val="32"/>
              </w:rPr>
              <w:t>Neo</w:t>
            </w:r>
            <w:r>
              <w:rPr>
                <w:b/>
                <w:color w:val="C8871A"/>
                <w:sz w:val="32"/>
              </w:rPr>
              <w:t>Travel</w:t>
            </w:r>
          </w:p>
          <w:p>
            <w:r>
              <w:rPr>
                <w:color w:val="5C6F82"/>
                <w:sz w:val="18"/>
              </w:rPr>
              <w:t>Automatisation commerciale transport de groupe</w:t>
            </w:r>
          </w:p>
        </w:tc>
      </w:tr>
    </w:tbl>
    <w:p>
      <w:pPr>
        <w:pStyle w:val="Title"/>
      </w:pPr>
      <w:r>
        <w:t>Documentation de passation</w:t>
      </w:r>
    </w:p>
    <w:p>
      <w:pPr>
        <w:pStyle w:val="Subtitle"/>
      </w:pPr>
      <w:r>
        <w:t>Solution SaaS NeoTravel</w:t>
      </w:r>
    </w:p>
    <w:p>
      <w:pPr/>
      <w:r>
        <w:t>Guide complet — Repreneur technique &amp; équipes NeoTravel</w:t>
      </w:r>
    </w:p>
    <w:p>
      <w:pPr/>
      <w:r>
        <w:t>Version : V1.0 — Remise finale du 29 juin 2026</w:t>
      </w:r>
    </w:p>
    <w:p>
      <w:pPr/>
      <w:r>
        <w:t>Branche de travail : last_modif</w:t>
        <w:br/>
        <w:t>Document autonome — utilisable sans les auteurs</w:t>
      </w:r>
    </w:p>
    <w:p>
      <w:pPr>
        <w:pStyle w:val="Heading2"/>
      </w:pPr>
      <w:r>
        <w:t>Objectif du document</w:t>
      </w:r>
    </w:p>
    <w:p>
      <w:pPr/>
      <w:r>
        <w:t>Ce document permet à un repreneur technique ou à une équipe NeoTravel de comprendre, lancer, utiliser, maintenir et faire évoluer le prototype sans dépendre de l'équipe projet initiale. Il complète le dossier de cadrage L1 et reprend l'état réel de la branche last_modif, récemment sauvegardée sur le dépôt GitHub du projet.</w:t>
      </w:r>
    </w:p>
    <w:p>
      <w:pPr>
        <w:pStyle w:val="Heading2"/>
      </w:pPr>
      <w:r>
        <w:t>Sources utilisées</w:t>
      </w:r>
    </w:p>
    <w:p>
      <w:pPr>
        <w:pStyle w:val="ListParagraph"/>
      </w:pPr>
      <w:r>
        <w:t>• Dossier de cadrage L1 : analyse, priorisation, As-Is / To-Be, périmètre MVP et risques.</w:t>
      </w:r>
    </w:p>
    <w:p>
      <w:pPr>
        <w:pStyle w:val="ListParagraph"/>
      </w:pPr>
      <w:r>
        <w:t>• README et requirements : architecture, variables, API, Vercel, IA, n8n et schémas.</w:t>
      </w:r>
    </w:p>
    <w:p>
      <w:pPr>
        <w:pStyle w:val="ListParagraph"/>
      </w:pPr>
      <w:r>
        <w:t>• Contrat technique, prompt-system, golden-set et workflows n8n.</w:t>
      </w:r>
    </w:p>
    <w:p>
      <w:pPr>
        <w:pStyle w:val="ListParagraph"/>
      </w:pPr>
      <w:r>
        <w:t>• État réel de la branche last_modif après les commits de sauvegarde.</w:t>
      </w:r>
    </w:p>
    <w:p>
      <w:r>
        <w:br w:type="page"/>
      </w:r>
    </w:p>
    <w:p>
      <w:pPr>
        <w:pStyle w:val="Heading1"/>
      </w:pPr>
      <w:r>
        <w:t>Sommaire</w:t>
      </w:r>
    </w:p>
    <w:p>
      <w:pPr>
        <w:pStyle w:val="TocLine"/>
      </w:pPr>
      <w:r>
        <w:t>1. Résumé exécutif</w:t>
      </w:r>
    </w:p>
    <w:p>
      <w:pPr>
        <w:pStyle w:val="TocLine"/>
      </w:pPr>
      <w:r>
        <w:t>2. Vue fonctionnelle de la solution</w:t>
      </w:r>
    </w:p>
    <w:p>
      <w:pPr>
        <w:pStyle w:val="TocLine"/>
      </w:pPr>
      <w:r>
        <w:t>3. Architecture technique</w:t>
      </w:r>
    </w:p>
    <w:p>
      <w:pPr>
        <w:pStyle w:val="TocLine"/>
      </w:pPr>
      <w:r>
        <w:t>4. Modèle de données</w:t>
      </w:r>
    </w:p>
    <w:p>
      <w:pPr>
        <w:pStyle w:val="TocLine"/>
      </w:pPr>
      <w:r>
        <w:t>5. Procédure repreneur technique</w:t>
      </w:r>
    </w:p>
    <w:p>
      <w:pPr>
        <w:pStyle w:val="TocLine"/>
      </w:pPr>
      <w:r>
        <w:t>6. Modifier la solution</w:t>
      </w:r>
    </w:p>
    <w:p>
      <w:pPr>
        <w:pStyle w:val="TocLine"/>
      </w:pPr>
      <w:r>
        <w:t>7. Procédure équipes NeoTravel</w:t>
      </w:r>
    </w:p>
    <w:p>
      <w:pPr>
        <w:pStyle w:val="TocLine"/>
      </w:pPr>
      <w:r>
        <w:t>8. Cas limites, incidents et décisions</w:t>
      </w:r>
    </w:p>
    <w:p>
      <w:pPr>
        <w:pStyle w:val="TocLine"/>
      </w:pPr>
      <w:r>
        <w:t>9. Tests et validation</w:t>
      </w:r>
    </w:p>
    <w:p>
      <w:pPr>
        <w:pStyle w:val="TocLine"/>
      </w:pPr>
      <w:r>
        <w:t>10. Sécurité, RGPD et garde-fous IA</w:t>
      </w:r>
    </w:p>
    <w:p>
      <w:pPr>
        <w:pStyle w:val="TocLine"/>
      </w:pPr>
      <w:r>
        <w:t>11. Backlog priorisé</w:t>
      </w:r>
    </w:p>
    <w:p>
      <w:pPr>
        <w:pStyle w:val="TocLine"/>
      </w:pPr>
      <w:r>
        <w:t>12. Annexes</w:t>
      </w:r>
    </w:p>
    <w:p>
      <w:r>
        <w:br w:type="page"/>
      </w:r>
    </w:p>
    <w:p>
      <w:pPr>
        <w:pStyle w:val="Heading1"/>
      </w:pPr>
      <w:r>
        <w:t>1. Résumé exécutif</w:t>
      </w:r>
    </w:p>
    <w:p>
      <w:pPr/>
      <w:r>
        <w:t>NeoTravel est une PME d'intermédiation spécialisée dans le transport de groupe. L'entreprise ne possède pas de flotte propre : sa valeur repose sur la qualification du besoin, l'identification du bon partenaire, la négociation et la sécurisation de la prestation.</w:t>
      </w:r>
    </w:p>
    <w:p>
      <w:pPr/>
      <w:r>
        <w:t>Le problème principal identifié dans le cadrage n'est pas l'acquisition. NeoTravel reçoit un flux important de demandes, mais le traitement manuel crée un goulot d'étranglement : qualification lente, relances irrégulières, devis manuels et visibilité limitée sur le pipeline.</w:t>
      </w:r>
    </w:p>
    <w:p>
      <w:pPr/>
      <w:r>
        <w:t>Le MVP automatise le parcours commercial amont sans déshumaniser la relation client. Les tâches répétitives sont automatisées, tandis que les cas complexes, urgents ou incohérents sont transmis à un commercial.</w:t>
      </w:r>
    </w:p>
    <w:p>
      <w:pPr>
        <w:pStyle w:val="Heading2"/>
      </w:pPr>
      <w:r>
        <w:t>1.1 Objectifs couverts</w:t>
      </w:r>
    </w:p>
    <w:p>
      <w:pPr>
        <w:pStyle w:val="ListParagraph"/>
      </w:pPr>
      <w:r>
        <w:t>• Capter les prospects depuis une interface claire.</w:t>
      </w:r>
    </w:p>
    <w:p>
      <w:pPr>
        <w:pStyle w:val="ListParagraph"/>
      </w:pPr>
      <w:r>
        <w:t>• Qualifier automatiquement ou semi-automatiquement les demandes.</w:t>
      </w:r>
    </w:p>
    <w:p>
      <w:pPr>
        <w:pStyle w:val="ListParagraph"/>
      </w:pPr>
      <w:r>
        <w:t>• Détecter les informations manquantes.</w:t>
      </w:r>
    </w:p>
    <w:p>
      <w:pPr>
        <w:pStyle w:val="ListParagraph"/>
      </w:pPr>
      <w:r>
        <w:t>• Calculer un devis déterministe.</w:t>
      </w:r>
    </w:p>
    <w:p>
      <w:pPr>
        <w:pStyle w:val="ListParagraph"/>
      </w:pPr>
      <w:r>
        <w:t>• Envoyer ou simuler l'envoi d'un devis.</w:t>
      </w:r>
    </w:p>
    <w:p>
      <w:pPr>
        <w:pStyle w:val="ListParagraph"/>
      </w:pPr>
      <w:r>
        <w:t>• Relancer le prospect selon son urgence.</w:t>
      </w:r>
    </w:p>
    <w:p>
      <w:pPr>
        <w:pStyle w:val="ListParagraph"/>
      </w:pPr>
      <w:r>
        <w:t>• Piloter les KPIs métier dans un dashboard.</w:t>
      </w:r>
    </w:p>
    <w:p>
      <w:pPr>
        <w:pStyle w:val="Heading2"/>
      </w:pPr>
      <w:r>
        <w:t>1.2 Hors périmètre assumé</w:t>
      </w:r>
    </w:p>
    <w:p>
      <w:pPr>
        <w:pStyle w:val="ListParagraph"/>
      </w:pPr>
      <w:r>
        <w:t>• Disponibilité réelle des partenaires autocaristes.</w:t>
      </w:r>
    </w:p>
    <w:p>
      <w:pPr>
        <w:pStyle w:val="ListParagraph"/>
      </w:pPr>
      <w:r>
        <w:t>• Réservation définitive, paiement, signature électronique et contrat.</w:t>
      </w:r>
    </w:p>
    <w:p>
      <w:pPr>
        <w:pStyle w:val="ListParagraph"/>
      </w:pPr>
      <w:r>
        <w:t>• Automatisation complète des trajets multi-destination complexes.</w:t>
      </w:r>
    </w:p>
    <w:p>
      <w:pPr>
        <w:pStyle w:val="ListParagraph"/>
      </w:pPr>
      <w:r>
        <w:t>• Décision commerciale sensible sans reprise humaine.</w:t>
      </w:r>
    </w:p>
    <w:p>
      <w:r>
        <w:br w:type="page"/>
      </w:r>
    </w:p>
    <w:p>
      <w:pPr>
        <w:pStyle w:val="Heading1"/>
      </w:pPr>
      <w:r>
        <w:t>2. Vue fonctionnelle de la solution</w:t>
      </w:r>
    </w:p>
    <w:tbl>
      <w:tblPr>
        <w:tblStyle w:val="TableGrid"/>
        <w:tblW w:w="0" w:type="auto"/>
        <w:tblBorders>
          <w:top w:val="single" w:sz="4" w:color="B7C9D8"/>
          <w:left w:val="single" w:sz="4" w:color="B7C9D8"/>
          <w:bottom w:val="single" w:sz="4" w:color="B7C9D8"/>
          <w:right w:val="single" w:sz="4" w:color="B7C9D8"/>
          <w:insideH w:val="single" w:sz="4" w:color="B7C9D8"/>
          <w:insideV w:val="single" w:sz="4" w:color="B7C9D8"/>
        </w:tblBorders>
      </w:tblPr>
      <w:tblGrid>
        <w:gridCol w:w="2600"/>
        <w:gridCol w:w="2600"/>
        <w:gridCol w:w="2600"/>
      </w:tblGrid>
      <w:tr>
        <w:tc>
          <w:tcPr>
            <w:shd w:fill="EAF2F8"/>
            <w:tcW w:w="2600" w:type="dxa"/>
          </w:tcPr>
          <w:p>
            <w:r>
              <w:rPr>
                <w:b/>
                <w:color w:val="071E3A"/>
              </w:rPr>
              <w:t>Fonction</w:t>
            </w:r>
          </w:p>
        </w:tc>
        <w:tc>
          <w:tcPr>
            <w:shd w:fill="EAF2F8"/>
            <w:tcW w:w="2600" w:type="dxa"/>
          </w:tcPr>
          <w:p>
            <w:r>
              <w:rPr>
                <w:b/>
                <w:color w:val="071E3A"/>
              </w:rPr>
              <w:t>Description</w:t>
            </w:r>
          </w:p>
        </w:tc>
        <w:tc>
          <w:tcPr>
            <w:shd w:fill="EAF2F8"/>
            <w:tcW w:w="2600" w:type="dxa"/>
          </w:tcPr>
          <w:p>
            <w:r>
              <w:rPr>
                <w:b/>
                <w:color w:val="071E3A"/>
              </w:rPr>
              <w:t>Responsable logique</w:t>
            </w:r>
          </w:p>
        </w:tc>
      </w:tr>
      <w:tr>
        <w:tc>
          <w:tcPr>
            <w:tcW w:w="2600" w:type="dxa"/>
          </w:tcPr>
          <w:p>
            <w:r>
              <w:rPr/>
              <w:t>Captation lead</w:t>
            </w:r>
          </w:p>
        </w:tc>
        <w:tc>
          <w:tcPr>
            <w:tcW w:w="2600" w:type="dxa"/>
          </w:tcPr>
          <w:p>
            <w:r>
              <w:rPr/>
              <w:t>Le prospect saisit sa demande dans le front client.</w:t>
            </w:r>
          </w:p>
        </w:tc>
        <w:tc>
          <w:tcPr>
            <w:tcW w:w="2600" w:type="dxa"/>
          </w:tcPr>
          <w:p>
            <w:r>
              <w:rPr/>
              <w:t>Next.js</w:t>
            </w:r>
          </w:p>
        </w:tc>
      </w:tr>
      <w:tr>
        <w:tc>
          <w:tcPr>
            <w:tcW w:w="2600" w:type="dxa"/>
          </w:tcPr>
          <w:p>
            <w:r>
              <w:rPr/>
              <w:t>Qualification</w:t>
            </w:r>
          </w:p>
        </w:tc>
        <w:tc>
          <w:tcPr>
            <w:tcW w:w="2600" w:type="dxa"/>
          </w:tcPr>
          <w:p>
            <w:r>
              <w:rPr/>
              <w:t>Le système collecte les champs, détecte les manques et pose les questions utiles.</w:t>
            </w:r>
          </w:p>
        </w:tc>
        <w:tc>
          <w:tcPr>
            <w:tcW w:w="2600" w:type="dxa"/>
          </w:tcPr>
          <w:p>
            <w:r>
              <w:rPr/>
              <w:t>Agent IA + règles locales</w:t>
            </w:r>
          </w:p>
        </w:tc>
      </w:tr>
      <w:tr>
        <w:tc>
          <w:tcPr>
            <w:tcW w:w="2600" w:type="dxa"/>
          </w:tcPr>
          <w:p>
            <w:r>
              <w:rPr/>
              <w:t>Centralisation</w:t>
            </w:r>
          </w:p>
        </w:tc>
        <w:tc>
          <w:tcPr>
            <w:tcW w:w="2600" w:type="dxa"/>
          </w:tcPr>
          <w:p>
            <w:r>
              <w:rPr/>
              <w:t>Le lead, le client, les statuts et le suivi sont enregistrés.</w:t>
            </w:r>
          </w:p>
        </w:tc>
        <w:tc>
          <w:tcPr>
            <w:tcW w:w="2600" w:type="dxa"/>
          </w:tcPr>
          <w:p>
            <w:r>
              <w:rPr/>
              <w:t>Supabase ou demoStore</w:t>
            </w:r>
          </w:p>
        </w:tc>
      </w:tr>
      <w:tr>
        <w:tc>
          <w:tcPr>
            <w:tcW w:w="2600" w:type="dxa"/>
          </w:tcPr>
          <w:p>
            <w:r>
              <w:rPr/>
              <w:t>Devis</w:t>
            </w:r>
          </w:p>
        </w:tc>
        <w:tc>
          <w:tcPr>
            <w:tcW w:w="2600" w:type="dxa"/>
          </w:tcPr>
          <w:p>
            <w:r>
              <w:rPr/>
              <w:t>Le prix est calculé par calculer_devis, jamais par le LLM.</w:t>
            </w:r>
          </w:p>
        </w:tc>
        <w:tc>
          <w:tcPr>
            <w:tcW w:w="2600" w:type="dxa"/>
          </w:tcPr>
          <w:p>
            <w:r>
              <w:rPr/>
              <w:t>Code déterministe</w:t>
            </w:r>
          </w:p>
        </w:tc>
      </w:tr>
      <w:tr>
        <w:tc>
          <w:tcPr>
            <w:tcW w:w="2600" w:type="dxa"/>
          </w:tcPr>
          <w:p>
            <w:r>
              <w:rPr/>
              <w:t>Email</w:t>
            </w:r>
          </w:p>
        </w:tc>
        <w:tc>
          <w:tcPr>
            <w:tcW w:w="2600" w:type="dxa"/>
          </w:tcPr>
          <w:p>
            <w:r>
              <w:rPr/>
              <w:t>Les templates sont envoyés à n8n ou simulés.</w:t>
            </w:r>
          </w:p>
        </w:tc>
        <w:tc>
          <w:tcPr>
            <w:tcW w:w="2600" w:type="dxa"/>
          </w:tcPr>
          <w:p>
            <w:r>
              <w:rPr/>
              <w:t>customerEmailService + n8n</w:t>
            </w:r>
          </w:p>
        </w:tc>
      </w:tr>
      <w:tr>
        <w:tc>
          <w:tcPr>
            <w:tcW w:w="2600" w:type="dxa"/>
          </w:tcPr>
          <w:p>
            <w:r>
              <w:rPr/>
              <w:t>Relance</w:t>
            </w:r>
          </w:p>
        </w:tc>
        <w:tc>
          <w:tcPr>
            <w:tcW w:w="2600" w:type="dxa"/>
          </w:tcPr>
          <w:p>
            <w:r>
              <w:rPr/>
              <w:t>Les relances sont planifiées selon urgence et absence de réponse.</w:t>
            </w:r>
          </w:p>
        </w:tc>
        <w:tc>
          <w:tcPr>
            <w:tcW w:w="2600" w:type="dxa"/>
          </w:tcPr>
          <w:p>
            <w:r>
              <w:rPr/>
              <w:t>scheduleFollowups + n8n</w:t>
            </w:r>
          </w:p>
        </w:tc>
      </w:tr>
      <w:tr>
        <w:tc>
          <w:tcPr>
            <w:tcW w:w="2600" w:type="dxa"/>
          </w:tcPr>
          <w:p>
            <w:r>
              <w:rPr/>
              <w:t>Dashboard</w:t>
            </w:r>
          </w:p>
        </w:tc>
        <w:tc>
          <w:tcPr>
            <w:tcW w:w="2600" w:type="dxa"/>
          </w:tcPr>
          <w:p>
            <w:r>
              <w:rPr/>
              <w:t>Les commerciaux suivent pipeline, KPIs, relances, demandes et archives.</w:t>
            </w:r>
          </w:p>
        </w:tc>
        <w:tc>
          <w:tcPr>
            <w:tcW w:w="2600" w:type="dxa"/>
          </w:tcPr>
          <w:p>
            <w:r>
              <w:rPr/>
              <w:t>Dashboard Next.js</w:t>
            </w:r>
          </w:p>
        </w:tc>
      </w:tr>
      <w:tr>
        <w:tc>
          <w:tcPr>
            <w:tcW w:w="2600" w:type="dxa"/>
          </w:tcPr>
          <w:p>
            <w:r>
              <w:rPr/>
              <w:t>Reprise humaine</w:t>
            </w:r>
          </w:p>
        </w:tc>
        <w:tc>
          <w:tcPr>
            <w:tcW w:w="2600" w:type="dxa"/>
          </w:tcPr>
          <w:p>
            <w:r>
              <w:rPr/>
              <w:t>Les cas sensibles sont bloqués en HUMAN_REVIEW.</w:t>
            </w:r>
          </w:p>
        </w:tc>
        <w:tc>
          <w:tcPr>
            <w:tcW w:w="2600" w:type="dxa"/>
          </w:tcPr>
          <w:p>
            <w:r>
              <w:rPr/>
              <w:t>Commercial NeoTravel</w:t>
            </w:r>
          </w:p>
        </w:tc>
      </w:tr>
    </w:tbl>
    <w:p>
      <w:pPr>
        <w:pStyle w:val="Heading2"/>
      </w:pPr>
      <w:r>
        <w:t>2.1 Parcours standard prospect</w:t>
      </w:r>
    </w:p>
    <w:p>
      <w:pPr/>
      <w:r>
        <w:t>1. Le prospect décrit son besoin.</w:t>
        <w:br/>
        <w:t>2. Le chat ou le formulaire collecte trajet, dates, passagers, type, options et coordonnées.</w:t>
        <w:br/>
        <w:t>3. Les champs critiques sont vérifiés.</w:t>
        <w:br/>
        <w:t>4. Si la demande est complète et standard, le devis est calculé.</w:t>
        <w:br/>
        <w:t>5. L'email est envoyé ou simulé et les relances sont programmées.</w:t>
        <w:br/>
        <w:t>6. Le dashboard suit le dossier.</w:t>
      </w:r>
    </w:p>
    <w:p>
      <w:pPr>
        <w:pStyle w:val="Heading2"/>
      </w:pPr>
      <w:r>
        <w:t>2.2 Statuts opérationnels</w:t>
      </w:r>
    </w:p>
    <w:tbl>
      <w:tblPr>
        <w:tblStyle w:val="TableGrid"/>
        <w:tblW w:w="0" w:type="auto"/>
        <w:tblBorders>
          <w:top w:val="single" w:sz="4" w:color="B7C9D8"/>
          <w:left w:val="single" w:sz="4" w:color="B7C9D8"/>
          <w:bottom w:val="single" w:sz="4" w:color="B7C9D8"/>
          <w:right w:val="single" w:sz="4" w:color="B7C9D8"/>
          <w:insideH w:val="single" w:sz="4" w:color="B7C9D8"/>
          <w:insideV w:val="single" w:sz="4" w:color="B7C9D8"/>
        </w:tblBorders>
      </w:tblPr>
      <w:tblGrid>
        <w:gridCol w:w="2600"/>
        <w:gridCol w:w="2600"/>
        <w:gridCol w:w="2600"/>
      </w:tblGrid>
      <w:tr>
        <w:tc>
          <w:tcPr>
            <w:shd w:fill="EAF2F8"/>
            <w:tcW w:w="2600" w:type="dxa"/>
          </w:tcPr>
          <w:p>
            <w:r>
              <w:rPr>
                <w:b/>
                <w:color w:val="071E3A"/>
              </w:rPr>
              <w:t>Statut</w:t>
            </w:r>
          </w:p>
        </w:tc>
        <w:tc>
          <w:tcPr>
            <w:shd w:fill="EAF2F8"/>
            <w:tcW w:w="2600" w:type="dxa"/>
          </w:tcPr>
          <w:p>
            <w:r>
              <w:rPr>
                <w:b/>
                <w:color w:val="071E3A"/>
              </w:rPr>
              <w:t>Sens opérationnel</w:t>
            </w:r>
          </w:p>
        </w:tc>
        <w:tc>
          <w:tcPr>
            <w:shd w:fill="EAF2F8"/>
            <w:tcW w:w="2600" w:type="dxa"/>
          </w:tcPr>
          <w:p>
            <w:r>
              <w:rPr>
                <w:b/>
                <w:color w:val="071E3A"/>
              </w:rPr>
              <w:t>Action attendue</w:t>
            </w:r>
          </w:p>
        </w:tc>
      </w:tr>
      <w:tr>
        <w:tc>
          <w:tcPr>
            <w:tcW w:w="2600" w:type="dxa"/>
          </w:tcPr>
          <w:p>
            <w:r>
              <w:rPr/>
              <w:t>NEW</w:t>
            </w:r>
          </w:p>
        </w:tc>
        <w:tc>
          <w:tcPr>
            <w:tcW w:w="2600" w:type="dxa"/>
          </w:tcPr>
          <w:p>
            <w:r>
              <w:rPr/>
              <w:t>Lead reçu, non qualifié.</w:t>
            </w:r>
          </w:p>
        </w:tc>
        <w:tc>
          <w:tcPr>
            <w:tcW w:w="2600" w:type="dxa"/>
          </w:tcPr>
          <w:p>
            <w:r>
              <w:rPr/>
              <w:t>Vérifier la complétude.</w:t>
            </w:r>
          </w:p>
        </w:tc>
      </w:tr>
      <w:tr>
        <w:tc>
          <w:tcPr>
            <w:tcW w:w="2600" w:type="dxa"/>
          </w:tcPr>
          <w:p>
            <w:r>
              <w:rPr/>
              <w:t>INCOMPLETE</w:t>
            </w:r>
          </w:p>
        </w:tc>
        <w:tc>
          <w:tcPr>
            <w:tcW w:w="2600" w:type="dxa"/>
          </w:tcPr>
          <w:p>
            <w:r>
              <w:rPr/>
              <w:t>Information obligatoire manquante.</w:t>
            </w:r>
          </w:p>
        </w:tc>
        <w:tc>
          <w:tcPr>
            <w:tcW w:w="2600" w:type="dxa"/>
          </w:tcPr>
          <w:p>
            <w:r>
              <w:rPr/>
              <w:t>Demander précision ou relancer.</w:t>
            </w:r>
          </w:p>
        </w:tc>
      </w:tr>
      <w:tr>
        <w:tc>
          <w:tcPr>
            <w:tcW w:w="2600" w:type="dxa"/>
          </w:tcPr>
          <w:p>
            <w:r>
              <w:rPr/>
              <w:t>QUALIFIED</w:t>
            </w:r>
          </w:p>
        </w:tc>
        <w:tc>
          <w:tcPr>
            <w:tcW w:w="2600" w:type="dxa"/>
          </w:tcPr>
          <w:p>
            <w:r>
              <w:rPr/>
              <w:t>Demande exploitable avant devis.</w:t>
            </w:r>
          </w:p>
        </w:tc>
        <w:tc>
          <w:tcPr>
            <w:tcW w:w="2600" w:type="dxa"/>
          </w:tcPr>
          <w:p>
            <w:r>
              <w:rPr/>
              <w:t>Préparer ou déclencher devis.</w:t>
            </w:r>
          </w:p>
        </w:tc>
      </w:tr>
      <w:tr>
        <w:tc>
          <w:tcPr>
            <w:tcW w:w="2600" w:type="dxa"/>
          </w:tcPr>
          <w:p>
            <w:r>
              <w:rPr/>
              <w:t>HUMAN_REVIEW</w:t>
            </w:r>
          </w:p>
        </w:tc>
        <w:tc>
          <w:tcPr>
            <w:tcW w:w="2600" w:type="dxa"/>
          </w:tcPr>
          <w:p>
            <w:r>
              <w:rPr/>
              <w:t>Cas sensible.</w:t>
            </w:r>
          </w:p>
        </w:tc>
        <w:tc>
          <w:tcPr>
            <w:tcW w:w="2600" w:type="dxa"/>
          </w:tcPr>
          <w:p>
            <w:r>
              <w:rPr/>
              <w:t>Reprise humaine avant devis automatique.</w:t>
            </w:r>
          </w:p>
        </w:tc>
      </w:tr>
      <w:tr>
        <w:tc>
          <w:tcPr>
            <w:tcW w:w="2600" w:type="dxa"/>
          </w:tcPr>
          <w:p>
            <w:r>
              <w:rPr/>
              <w:t>QUOTE_READY</w:t>
            </w:r>
          </w:p>
        </w:tc>
        <w:tc>
          <w:tcPr>
            <w:tcW w:w="2600" w:type="dxa"/>
          </w:tcPr>
          <w:p>
            <w:r>
              <w:rPr/>
              <w:t>Devis calculé.</w:t>
            </w:r>
          </w:p>
        </w:tc>
        <w:tc>
          <w:tcPr>
            <w:tcW w:w="2600" w:type="dxa"/>
          </w:tcPr>
          <w:p>
            <w:r>
              <w:rPr/>
              <w:t>Contrôler ou envoyer.</w:t>
            </w:r>
          </w:p>
        </w:tc>
      </w:tr>
      <w:tr>
        <w:tc>
          <w:tcPr>
            <w:tcW w:w="2600" w:type="dxa"/>
          </w:tcPr>
          <w:p>
            <w:r>
              <w:rPr/>
              <w:t>QUOTE_SENT</w:t>
            </w:r>
          </w:p>
        </w:tc>
        <w:tc>
          <w:tcPr>
            <w:tcW w:w="2600" w:type="dxa"/>
          </w:tcPr>
          <w:p>
            <w:r>
              <w:rPr/>
              <w:t>Devis transmis.</w:t>
            </w:r>
          </w:p>
        </w:tc>
        <w:tc>
          <w:tcPr>
            <w:tcW w:w="2600" w:type="dxa"/>
          </w:tcPr>
          <w:p>
            <w:r>
              <w:rPr/>
              <w:t>Suivre réponse et relances.</w:t>
            </w:r>
          </w:p>
        </w:tc>
      </w:tr>
      <w:tr>
        <w:tc>
          <w:tcPr>
            <w:tcW w:w="2600" w:type="dxa"/>
          </w:tcPr>
          <w:p>
            <w:r>
              <w:rPr/>
              <w:t>FOLLOWUP_SCHEDULED</w:t>
            </w:r>
          </w:p>
        </w:tc>
        <w:tc>
          <w:tcPr>
            <w:tcW w:w="2600" w:type="dxa"/>
          </w:tcPr>
          <w:p>
            <w:r>
              <w:rPr/>
              <w:t>Relance programmée.</w:t>
            </w:r>
          </w:p>
        </w:tc>
        <w:tc>
          <w:tcPr>
            <w:tcW w:w="2600" w:type="dxa"/>
          </w:tcPr>
          <w:p>
            <w:r>
              <w:rPr/>
              <w:t>Surveiller échéance.</w:t>
            </w:r>
          </w:p>
        </w:tc>
      </w:tr>
      <w:tr>
        <w:tc>
          <w:tcPr>
            <w:tcW w:w="2600" w:type="dxa"/>
          </w:tcPr>
          <w:p>
            <w:r>
              <w:rPr/>
              <w:t>WON</w:t>
            </w:r>
          </w:p>
        </w:tc>
        <w:tc>
          <w:tcPr>
            <w:tcW w:w="2600" w:type="dxa"/>
          </w:tcPr>
          <w:p>
            <w:r>
              <w:rPr/>
              <w:t>Devis accepté.</w:t>
            </w:r>
          </w:p>
        </w:tc>
        <w:tc>
          <w:tcPr>
            <w:tcW w:w="2600" w:type="dxa"/>
          </w:tcPr>
          <w:p>
            <w:r>
              <w:rPr/>
              <w:t>Passer au traitement aval hors MVP.</w:t>
            </w:r>
          </w:p>
        </w:tc>
      </w:tr>
      <w:tr>
        <w:tc>
          <w:tcPr>
            <w:tcW w:w="2600" w:type="dxa"/>
          </w:tcPr>
          <w:p>
            <w:r>
              <w:rPr/>
              <w:t>LOST</w:t>
            </w:r>
          </w:p>
        </w:tc>
        <w:tc>
          <w:tcPr>
            <w:tcW w:w="2600" w:type="dxa"/>
          </w:tcPr>
          <w:p>
            <w:r>
              <w:rPr/>
              <w:t>Refus ou dossier perdu.</w:t>
            </w:r>
          </w:p>
        </w:tc>
        <w:tc>
          <w:tcPr>
            <w:tcW w:w="2600" w:type="dxa"/>
          </w:tcPr>
          <w:p>
            <w:r>
              <w:rPr/>
              <w:t>Clôturer commercialement.</w:t>
            </w:r>
          </w:p>
        </w:tc>
      </w:tr>
      <w:tr>
        <w:tc>
          <w:tcPr>
            <w:tcW w:w="2600" w:type="dxa"/>
          </w:tcPr>
          <w:p>
            <w:r>
              <w:rPr/>
              <w:t>CLOSED</w:t>
            </w:r>
          </w:p>
        </w:tc>
        <w:tc>
          <w:tcPr>
            <w:tcW w:w="2600" w:type="dxa"/>
          </w:tcPr>
          <w:p>
            <w:r>
              <w:rPr/>
              <w:t>Dossier clôturé sans suite.</w:t>
            </w:r>
          </w:p>
        </w:tc>
        <w:tc>
          <w:tcPr>
            <w:tcW w:w="2600" w:type="dxa"/>
          </w:tcPr>
          <w:p>
            <w:r>
              <w:rPr/>
              <w:t>Conserver la raison.</w:t>
            </w:r>
          </w:p>
        </w:tc>
      </w:tr>
    </w:tbl>
    <w:p>
      <w:r>
        <w:br w:type="page"/>
      </w:r>
    </w:p>
    <w:p>
      <w:pPr>
        <w:pStyle w:val="Heading1"/>
      </w:pPr>
      <w:r>
        <w:t>3. Architecture technique</w:t>
      </w:r>
    </w:p>
    <w:p>
      <w:pPr/>
      <w:r>
        <w:t>L'architecture suit l'option B du cadrage : l'agent vit dans le code Next.js via l'AI SDK, tandis que n8n sert de dos automatisé pour les emails, relances et notifications.</w:t>
      </w:r>
    </w:p>
    <w:tbl>
      <w:tblPr>
        <w:tblStyle w:val="TableGrid"/>
        <w:tblW w:w="0" w:type="auto"/>
        <w:tblBorders>
          <w:top w:val="single" w:sz="4" w:color="B7C9D8"/>
          <w:left w:val="single" w:sz="4" w:color="B7C9D8"/>
          <w:bottom w:val="single" w:sz="4" w:color="B7C9D8"/>
          <w:right w:val="single" w:sz="4" w:color="B7C9D8"/>
          <w:insideH w:val="single" w:sz="4" w:color="B7C9D8"/>
          <w:insideV w:val="single" w:sz="4" w:color="B7C9D8"/>
        </w:tblBorders>
      </w:tblPr>
      <w:tblGrid>
        <w:gridCol w:w="2600"/>
        <w:gridCol w:w="2600"/>
        <w:gridCol w:w="2600"/>
      </w:tblGrid>
      <w:tr>
        <w:tc>
          <w:tcPr>
            <w:shd w:fill="EAF2F8"/>
            <w:tcW w:w="2600" w:type="dxa"/>
          </w:tcPr>
          <w:p>
            <w:r>
              <w:rPr>
                <w:b/>
                <w:color w:val="071E3A"/>
              </w:rPr>
              <w:t>Brique</w:t>
            </w:r>
          </w:p>
        </w:tc>
        <w:tc>
          <w:tcPr>
            <w:shd w:fill="EAF2F8"/>
            <w:tcW w:w="2600" w:type="dxa"/>
          </w:tcPr>
          <w:p>
            <w:r>
              <w:rPr>
                <w:b/>
                <w:color w:val="071E3A"/>
              </w:rPr>
              <w:t>Choix réel</w:t>
            </w:r>
          </w:p>
        </w:tc>
        <w:tc>
          <w:tcPr>
            <w:shd w:fill="EAF2F8"/>
            <w:tcW w:w="2600" w:type="dxa"/>
          </w:tcPr>
          <w:p>
            <w:r>
              <w:rPr>
                <w:b/>
                <w:color w:val="071E3A"/>
              </w:rPr>
              <w:t>Rôle</w:t>
            </w:r>
          </w:p>
        </w:tc>
      </w:tr>
      <w:tr>
        <w:tc>
          <w:tcPr>
            <w:tcW w:w="2600" w:type="dxa"/>
          </w:tcPr>
          <w:p>
            <w:r>
              <w:rPr/>
              <w:t>Front/API</w:t>
            </w:r>
          </w:p>
        </w:tc>
        <w:tc>
          <w:tcPr>
            <w:tcW w:w="2600" w:type="dxa"/>
          </w:tcPr>
          <w:p>
            <w:r>
              <w:rPr/>
              <w:t>Next.js 16 App Router</w:t>
            </w:r>
          </w:p>
        </w:tc>
        <w:tc>
          <w:tcPr>
            <w:tcW w:w="2600" w:type="dxa"/>
          </w:tcPr>
          <w:p>
            <w:r>
              <w:rPr/>
              <w:t>Pages client, dashboard, routes API.</w:t>
            </w:r>
          </w:p>
        </w:tc>
      </w:tr>
      <w:tr>
        <w:tc>
          <w:tcPr>
            <w:tcW w:w="2600" w:type="dxa"/>
          </w:tcPr>
          <w:p>
            <w:r>
              <w:rPr/>
              <w:t>Langage</w:t>
            </w:r>
          </w:p>
        </w:tc>
        <w:tc>
          <w:tcPr>
            <w:tcW w:w="2600" w:type="dxa"/>
          </w:tcPr>
          <w:p>
            <w:r>
              <w:rPr/>
              <w:t>TypeScript</w:t>
            </w:r>
          </w:p>
        </w:tc>
        <w:tc>
          <w:tcPr>
            <w:tcW w:w="2600" w:type="dxa"/>
          </w:tcPr>
          <w:p>
            <w:r>
              <w:rPr/>
              <w:t>Contrats et logique métier.</w:t>
            </w:r>
          </w:p>
        </w:tc>
      </w:tr>
      <w:tr>
        <w:tc>
          <w:tcPr>
            <w:tcW w:w="2600" w:type="dxa"/>
          </w:tcPr>
          <w:p>
            <w:r>
              <w:rPr/>
              <w:t>UI</w:t>
            </w:r>
          </w:p>
        </w:tc>
        <w:tc>
          <w:tcPr>
            <w:tcW w:w="2600" w:type="dxa"/>
          </w:tcPr>
          <w:p>
            <w:r>
              <w:rPr/>
              <w:t>React, CSS Modules, lucide-react, Leaflet</w:t>
            </w:r>
          </w:p>
        </w:tc>
        <w:tc>
          <w:tcPr>
            <w:tcW w:w="2600" w:type="dxa"/>
          </w:tcPr>
          <w:p>
            <w:r>
              <w:rPr/>
              <w:t>Interfaces et cartes.</w:t>
            </w:r>
          </w:p>
        </w:tc>
      </w:tr>
      <w:tr>
        <w:tc>
          <w:tcPr>
            <w:tcW w:w="2600" w:type="dxa"/>
          </w:tcPr>
          <w:p>
            <w:r>
              <w:rPr/>
              <w:t>IA</w:t>
            </w:r>
          </w:p>
        </w:tc>
        <w:tc>
          <w:tcPr>
            <w:tcW w:w="2600" w:type="dxa"/>
          </w:tcPr>
          <w:p>
            <w:r>
              <w:rPr/>
              <w:t>Vercel AI SDK, Gateway ou OpenRouter</w:t>
            </w:r>
          </w:p>
        </w:tc>
        <w:tc>
          <w:tcPr>
            <w:tcW w:w="2600" w:type="dxa"/>
          </w:tcPr>
          <w:p>
            <w:r>
              <w:rPr/>
              <w:t>Extraction, qualification et réponses.</w:t>
            </w:r>
          </w:p>
        </w:tc>
      </w:tr>
      <w:tr>
        <w:tc>
          <w:tcPr>
            <w:tcW w:w="2600" w:type="dxa"/>
          </w:tcPr>
          <w:p>
            <w:r>
              <w:rPr/>
              <w:t>Base</w:t>
            </w:r>
          </w:p>
        </w:tc>
        <w:tc>
          <w:tcPr>
            <w:tcW w:w="2600" w:type="dxa"/>
          </w:tcPr>
          <w:p>
            <w:r>
              <w:rPr/>
              <w:t>Supabase</w:t>
            </w:r>
          </w:p>
        </w:tc>
        <w:tc>
          <w:tcPr>
            <w:tcW w:w="2600" w:type="dxa"/>
          </w:tcPr>
          <w:p>
            <w:r>
              <w:rPr/>
              <w:t>Clients, leads, devis, relances, logs, pricing.</w:t>
            </w:r>
          </w:p>
        </w:tc>
      </w:tr>
      <w:tr>
        <w:tc>
          <w:tcPr>
            <w:tcW w:w="2600" w:type="dxa"/>
          </w:tcPr>
          <w:p>
            <w:r>
              <w:rPr/>
              <w:t>Automatisation</w:t>
            </w:r>
          </w:p>
        </w:tc>
        <w:tc>
          <w:tcPr>
            <w:tcW w:w="2600" w:type="dxa"/>
          </w:tcPr>
          <w:p>
            <w:r>
              <w:rPr/>
              <w:t>n8n</w:t>
            </w:r>
          </w:p>
        </w:tc>
        <w:tc>
          <w:tcPr>
            <w:tcW w:w="2600" w:type="dxa"/>
          </w:tcPr>
          <w:p>
            <w:r>
              <w:rPr/>
              <w:t>Emails, relances, notifications, jamais le prix.</w:t>
            </w:r>
          </w:p>
        </w:tc>
      </w:tr>
      <w:tr>
        <w:tc>
          <w:tcPr>
            <w:tcW w:w="2600" w:type="dxa"/>
          </w:tcPr>
          <w:p>
            <w:r>
              <w:rPr/>
              <w:t>Pricing</w:t>
            </w:r>
          </w:p>
        </w:tc>
        <w:tc>
          <w:tcPr>
            <w:tcW w:w="2600" w:type="dxa"/>
          </w:tcPr>
          <w:p>
            <w:r>
              <w:rPr/>
              <w:t>calculer_devis</w:t>
            </w:r>
          </w:p>
        </w:tc>
        <w:tc>
          <w:tcPr>
            <w:tcW w:w="2600" w:type="dxa"/>
          </w:tcPr>
          <w:p>
            <w:r>
              <w:rPr/>
              <w:t>Seule source de prix.</w:t>
            </w:r>
          </w:p>
        </w:tc>
      </w:tr>
      <w:tr>
        <w:tc>
          <w:tcPr>
            <w:tcW w:w="2600" w:type="dxa"/>
          </w:tcPr>
          <w:p>
            <w:r>
              <w:rPr/>
              <w:t>Distance</w:t>
            </w:r>
          </w:p>
        </w:tc>
        <w:tc>
          <w:tcPr>
            <w:tcW w:w="2600" w:type="dxa"/>
          </w:tcPr>
          <w:p>
            <w:r>
              <w:rPr/>
              <w:t>route_pricing, OpenRouteService/OSRM</w:t>
            </w:r>
          </w:p>
        </w:tc>
        <w:tc>
          <w:tcPr>
            <w:tcW w:w="2600" w:type="dxa"/>
          </w:tcPr>
          <w:p>
            <w:r>
              <w:rPr/>
              <w:t>Distance contrôlée.</w:t>
            </w:r>
          </w:p>
        </w:tc>
      </w:tr>
      <w:tr>
        <w:tc>
          <w:tcPr>
            <w:tcW w:w="2600" w:type="dxa"/>
          </w:tcPr>
          <w:p>
            <w:r>
              <w:rPr/>
              <w:t>Déploiement</w:t>
            </w:r>
          </w:p>
        </w:tc>
        <w:tc>
          <w:tcPr>
            <w:tcW w:w="2600" w:type="dxa"/>
          </w:tcPr>
          <w:p>
            <w:r>
              <w:rPr/>
              <w:t>Vercel</w:t>
            </w:r>
          </w:p>
        </w:tc>
        <w:tc>
          <w:tcPr>
            <w:tcW w:w="2600" w:type="dxa"/>
          </w:tcPr>
          <w:p>
            <w:r>
              <w:rPr/>
              <w:t>Application web et API.</w:t>
            </w:r>
          </w:p>
        </w:tc>
      </w:tr>
    </w:tbl>
    <w:p>
      <w:pPr>
        <w:pStyle w:val="Heading2"/>
      </w:pPr>
      <w:r>
        <w:t>3.1 Connexions API</w:t>
      </w:r>
    </w:p>
    <w:tbl>
      <w:tblPr>
        <w:tblStyle w:val="TableGrid"/>
        <w:tblW w:w="0" w:type="auto"/>
        <w:tblBorders>
          <w:top w:val="single" w:sz="4" w:color="B7C9D8"/>
          <w:left w:val="single" w:sz="4" w:color="B7C9D8"/>
          <w:bottom w:val="single" w:sz="4" w:color="B7C9D8"/>
          <w:right w:val="single" w:sz="4" w:color="B7C9D8"/>
          <w:insideH w:val="single" w:sz="4" w:color="B7C9D8"/>
          <w:insideV w:val="single" w:sz="4" w:color="B7C9D8"/>
        </w:tblBorders>
      </w:tblPr>
      <w:tblGrid>
        <w:gridCol w:w="2600"/>
        <w:gridCol w:w="2600"/>
        <w:gridCol w:w="2600"/>
      </w:tblGrid>
      <w:tr>
        <w:tc>
          <w:tcPr>
            <w:shd w:fill="EAF2F8"/>
            <w:tcW w:w="2600" w:type="dxa"/>
          </w:tcPr>
          <w:p>
            <w:r>
              <w:rPr>
                <w:b/>
                <w:color w:val="071E3A"/>
              </w:rPr>
              <w:t>Connexion</w:t>
            </w:r>
          </w:p>
        </w:tc>
        <w:tc>
          <w:tcPr>
            <w:shd w:fill="EAF2F8"/>
            <w:tcW w:w="2600" w:type="dxa"/>
          </w:tcPr>
          <w:p>
            <w:r>
              <w:rPr>
                <w:b/>
                <w:color w:val="071E3A"/>
              </w:rPr>
              <w:t>Variables</w:t>
            </w:r>
          </w:p>
        </w:tc>
        <w:tc>
          <w:tcPr>
            <w:shd w:fill="EAF2F8"/>
            <w:tcW w:w="2600" w:type="dxa"/>
          </w:tcPr>
          <w:p>
            <w:r>
              <w:rPr>
                <w:b/>
                <w:color w:val="071E3A"/>
              </w:rPr>
              <w:t>Comportement</w:t>
            </w:r>
          </w:p>
        </w:tc>
      </w:tr>
      <w:tr>
        <w:tc>
          <w:tcPr>
            <w:tcW w:w="2600" w:type="dxa"/>
          </w:tcPr>
          <w:p>
            <w:r>
              <w:rPr/>
              <w:t>Supabase</w:t>
            </w:r>
          </w:p>
        </w:tc>
        <w:tc>
          <w:tcPr>
            <w:tcW w:w="2600" w:type="dxa"/>
          </w:tcPr>
          <w:p>
            <w:r>
              <w:rPr/>
              <w:t>NEXT_PUBLIC_SUPABASE_URL, NEXT_PUBLIC_SUPABASE_ANON_KEY, SUPABASE_SERVICE_ROLE_KEY</w:t>
            </w:r>
          </w:p>
        </w:tc>
        <w:tc>
          <w:tcPr>
            <w:tcW w:w="2600" w:type="dxa"/>
          </w:tcPr>
          <w:p>
            <w:r>
              <w:rPr/>
              <w:t>Données persistantes.</w:t>
            </w:r>
          </w:p>
        </w:tc>
      </w:tr>
      <w:tr>
        <w:tc>
          <w:tcPr>
            <w:tcW w:w="2600" w:type="dxa"/>
          </w:tcPr>
          <w:p>
            <w:r>
              <w:rPr/>
              <w:t>IA</w:t>
            </w:r>
          </w:p>
        </w:tc>
        <w:tc>
          <w:tcPr>
            <w:tcW w:w="2600" w:type="dxa"/>
          </w:tcPr>
          <w:p>
            <w:r>
              <w:rPr/>
              <w:t>AI_GATEWAY_API_KEY / AI_API_KEY</w:t>
            </w:r>
          </w:p>
        </w:tc>
        <w:tc>
          <w:tcPr>
            <w:tcW w:w="2600" w:type="dxa"/>
          </w:tcPr>
          <w:p>
            <w:r>
              <w:rPr/>
              <w:t>Gateway prioritaire, OpenRouter en fallback.</w:t>
            </w:r>
          </w:p>
        </w:tc>
      </w:tr>
      <w:tr>
        <w:tc>
          <w:tcPr>
            <w:tcW w:w="2600" w:type="dxa"/>
          </w:tcPr>
          <w:p>
            <w:r>
              <w:rPr/>
              <w:t>n8n</w:t>
            </w:r>
          </w:p>
        </w:tc>
        <w:tc>
          <w:tcPr>
            <w:tcW w:w="2600" w:type="dxa"/>
          </w:tcPr>
          <w:p>
            <w:r>
              <w:rPr/>
              <w:t>N8N_*_WEBHOOK, N8N_WEBHOOK_SECRET</w:t>
            </w:r>
          </w:p>
        </w:tc>
        <w:tc>
          <w:tcPr>
            <w:tcW w:w="2600" w:type="dxa"/>
          </w:tcPr>
          <w:p>
            <w:r>
              <w:rPr/>
              <w:t>Emails, devis, relances, notifications.</w:t>
            </w:r>
          </w:p>
        </w:tc>
      </w:tr>
      <w:tr>
        <w:tc>
          <w:tcPr>
            <w:tcW w:w="2600" w:type="dxa"/>
          </w:tcPr>
          <w:p>
            <w:r>
              <w:rPr/>
              <w:t>Distance</w:t>
            </w:r>
          </w:p>
        </w:tc>
        <w:tc>
          <w:tcPr>
            <w:tcW w:w="2600" w:type="dxa"/>
          </w:tcPr>
          <w:p>
            <w:r>
              <w:rPr/>
              <w:t>ORS_API_KEY, OPENROUTESERVICE_API_KEY, OSRM_BASE_URL</w:t>
            </w:r>
          </w:p>
        </w:tc>
        <w:tc>
          <w:tcPr>
            <w:tcW w:w="2600" w:type="dxa"/>
          </w:tcPr>
          <w:p>
            <w:r>
              <w:rPr/>
              <w:t>Distance contrôlée.</w:t>
            </w:r>
          </w:p>
        </w:tc>
      </w:tr>
      <w:tr>
        <w:tc>
          <w:tcPr>
            <w:tcW w:w="2600" w:type="dxa"/>
          </w:tcPr>
          <w:p>
            <w:r>
              <w:rPr/>
              <w:t>Vercel</w:t>
            </w:r>
          </w:p>
        </w:tc>
        <w:tc>
          <w:tcPr>
            <w:tcW w:w="2600" w:type="dxa"/>
          </w:tcPr>
          <w:p>
            <w:r>
              <w:rPr/>
              <w:t>Variables d'environnement projet</w:t>
            </w:r>
          </w:p>
        </w:tc>
        <w:tc>
          <w:tcPr>
            <w:tcW w:w="2600" w:type="dxa"/>
          </w:tcPr>
          <w:p>
            <w:r>
              <w:rPr/>
              <w:t>Déploiement production et previews.</w:t>
            </w:r>
          </w:p>
        </w:tc>
      </w:tr>
    </w:tbl>
    <w:p>
      <w:pPr>
        <w:pStyle w:val="Heading2"/>
      </w:pPr>
      <w:r>
        <w:t>3.2 Choix IA, Mistral et budget 15 euros</w:t>
      </w:r>
    </w:p>
    <w:p>
      <w:pPr/>
      <w:r>
        <w:t>Le code ne fixe pas Mistral en dur : il lit AI_GATEWAY_MODEL_ID ou AI_MODEL_ID. Mistral peut être défendu si le modèle correspondant est configuré dans Vercel AI Gateway et si son coût est vérifié dans le provider. Le budget IA projet est limité à 15 euros. Pour le respecter, limiter les prompts longs, privilégier les règles locales, éviter d'envoyer des documents complets au modèle et surveiller les coûts dans Vercel ou le provider choisi.</w:t>
      </w:r>
    </w:p>
    <w:p>
      <w:pPr>
        <w:pStyle w:val="Heading2"/>
      </w:pPr>
      <w:r>
        <w:t>3.3 Règle d'or technique</w:t>
      </w:r>
    </w:p>
    <w:p>
      <w:pPr>
        <w:pStyle w:val="ListParagraph"/>
      </w:pPr>
      <w:r>
        <w:t>• L'IA orchestre et qualifie.</w:t>
      </w:r>
    </w:p>
    <w:p>
      <w:pPr>
        <w:pStyle w:val="ListParagraph"/>
      </w:pPr>
      <w:r>
        <w:t>• Le code déterministe calcule.</w:t>
      </w:r>
    </w:p>
    <w:p>
      <w:pPr>
        <w:pStyle w:val="ListParagraph"/>
      </w:pPr>
      <w:r>
        <w:t>• L'humain reprend les cas complexes.</w:t>
      </w:r>
    </w:p>
    <w:p>
      <w:pPr>
        <w:pStyle w:val="ListParagraph"/>
      </w:pPr>
      <w:r>
        <w:t>• n8n automatise les envois et relances, mais jamais le prix.</w:t>
      </w:r>
    </w:p>
    <w:p>
      <w:r>
        <w:br w:type="page"/>
      </w:r>
    </w:p>
    <w:p>
      <w:pPr>
        <w:pStyle w:val="Heading1"/>
      </w:pPr>
      <w:r>
        <w:t>4. Modèle de données</w:t>
      </w:r>
    </w:p>
    <w:p>
      <w:pPr/>
      <w:r>
        <w:t>Le modèle minimal est centralisé dans Supabase. En mode démo, certaines pages peuvent utiliser un store local lorsque les variables Supabase ne sont pas configurées.</w:t>
      </w:r>
    </w:p>
    <w:tbl>
      <w:tblPr>
        <w:tblStyle w:val="TableGrid"/>
        <w:tblW w:w="0" w:type="auto"/>
        <w:tblBorders>
          <w:top w:val="single" w:sz="4" w:color="B7C9D8"/>
          <w:left w:val="single" w:sz="4" w:color="B7C9D8"/>
          <w:bottom w:val="single" w:sz="4" w:color="B7C9D8"/>
          <w:right w:val="single" w:sz="4" w:color="B7C9D8"/>
          <w:insideH w:val="single" w:sz="4" w:color="B7C9D8"/>
          <w:insideV w:val="single" w:sz="4" w:color="B7C9D8"/>
        </w:tblBorders>
      </w:tblPr>
      <w:tblGrid>
        <w:gridCol w:w="2600"/>
        <w:gridCol w:w="2600"/>
        <w:gridCol w:w="2600"/>
      </w:tblGrid>
      <w:tr>
        <w:tc>
          <w:tcPr>
            <w:shd w:fill="EAF2F8"/>
            <w:tcW w:w="2600" w:type="dxa"/>
          </w:tcPr>
          <w:p>
            <w:r>
              <w:rPr>
                <w:b/>
                <w:color w:val="071E3A"/>
              </w:rPr>
              <w:t>Table</w:t>
            </w:r>
          </w:p>
        </w:tc>
        <w:tc>
          <w:tcPr>
            <w:shd w:fill="EAF2F8"/>
            <w:tcW w:w="2600" w:type="dxa"/>
          </w:tcPr>
          <w:p>
            <w:r>
              <w:rPr>
                <w:b/>
                <w:color w:val="071E3A"/>
              </w:rPr>
              <w:t>Rôle</w:t>
            </w:r>
          </w:p>
        </w:tc>
        <w:tc>
          <w:tcPr>
            <w:shd w:fill="EAF2F8"/>
            <w:tcW w:w="2600" w:type="dxa"/>
          </w:tcPr>
          <w:p>
            <w:r>
              <w:rPr>
                <w:b/>
                <w:color w:val="071E3A"/>
              </w:rPr>
              <w:t>Champs clés</w:t>
            </w:r>
          </w:p>
        </w:tc>
      </w:tr>
      <w:tr>
        <w:tc>
          <w:tcPr>
            <w:tcW w:w="2600" w:type="dxa"/>
          </w:tcPr>
          <w:p>
            <w:r>
              <w:rPr/>
              <w:t>clients</w:t>
            </w:r>
          </w:p>
        </w:tc>
        <w:tc>
          <w:tcPr>
            <w:tcW w:w="2600" w:type="dxa"/>
          </w:tcPr>
          <w:p>
            <w:r>
              <w:rPr/>
              <w:t>Identité prospect/client.</w:t>
            </w:r>
          </w:p>
        </w:tc>
        <w:tc>
          <w:tcPr>
            <w:tcW w:w="2600" w:type="dxa"/>
          </w:tcPr>
          <w:p>
            <w:r>
              <w:rPr/>
              <w:t>name, organization, email, contact_name, phone.</w:t>
            </w:r>
          </w:p>
        </w:tc>
      </w:tr>
      <w:tr>
        <w:tc>
          <w:tcPr>
            <w:tcW w:w="2600" w:type="dxa"/>
          </w:tcPr>
          <w:p>
            <w:r>
              <w:rPr/>
              <w:t>leads</w:t>
            </w:r>
          </w:p>
        </w:tc>
        <w:tc>
          <w:tcPr>
            <w:tcW w:w="2600" w:type="dxa"/>
          </w:tcPr>
          <w:p>
            <w:r>
              <w:rPr/>
              <w:t>Demande commerciale et statut.</w:t>
            </w:r>
          </w:p>
        </w:tc>
        <w:tc>
          <w:tcPr>
            <w:tcW w:w="2600" w:type="dxa"/>
          </w:tcPr>
          <w:p>
            <w:r>
              <w:rPr/>
              <w:t>client_type, villes, dates, passagers, trip_type, options, status.</w:t>
            </w:r>
          </w:p>
        </w:tc>
      </w:tr>
      <w:tr>
        <w:tc>
          <w:tcPr>
            <w:tcW w:w="2600" w:type="dxa"/>
          </w:tcPr>
          <w:p>
            <w:r>
              <w:rPr/>
              <w:t>quotes</w:t>
            </w:r>
          </w:p>
        </w:tc>
        <w:tc>
          <w:tcPr>
            <w:tcW w:w="2600" w:type="dxa"/>
          </w:tcPr>
          <w:p>
            <w:r>
              <w:rPr/>
              <w:t>Devis calculés.</w:t>
            </w:r>
          </w:p>
        </w:tc>
        <w:tc>
          <w:tcPr>
            <w:tcW w:w="2600" w:type="dxa"/>
          </w:tcPr>
          <w:p>
            <w:r>
              <w:rPr/>
              <w:t>quote_number, price_ht, tva_10pct, price_ttc, breakdown, hash.</w:t>
            </w:r>
          </w:p>
        </w:tc>
      </w:tr>
      <w:tr>
        <w:tc>
          <w:tcPr>
            <w:tcW w:w="2600" w:type="dxa"/>
          </w:tcPr>
          <w:p>
            <w:r>
              <w:rPr/>
              <w:t>followups</w:t>
            </w:r>
          </w:p>
        </w:tc>
        <w:tc>
          <w:tcPr>
            <w:tcW w:w="2600" w:type="dxa"/>
          </w:tcPr>
          <w:p>
            <w:r>
              <w:rPr/>
              <w:t>Relances client.</w:t>
            </w:r>
          </w:p>
        </w:tc>
        <w:tc>
          <w:tcPr>
            <w:tcW w:w="2600" w:type="dxa"/>
          </w:tcPr>
          <w:p>
            <w:r>
              <w:rPr/>
              <w:t>scheduled_at, channel, status.</w:t>
            </w:r>
          </w:p>
        </w:tc>
      </w:tr>
      <w:tr>
        <w:tc>
          <w:tcPr>
            <w:tcW w:w="2600" w:type="dxa"/>
          </w:tcPr>
          <w:p>
            <w:r>
              <w:rPr/>
              <w:t>pricing_matrices</w:t>
            </w:r>
          </w:p>
        </w:tc>
        <w:tc>
          <w:tcPr>
            <w:tcW w:w="2600" w:type="dxa"/>
          </w:tcPr>
          <w:p>
            <w:r>
              <w:rPr/>
              <w:t>Règles tarifaires.</w:t>
            </w:r>
          </w:p>
        </w:tc>
        <w:tc>
          <w:tcPr>
            <w:tcW w:w="2600" w:type="dxa"/>
          </w:tcPr>
          <w:p>
            <w:r>
              <w:rPr/>
              <w:t>version, is_active, rules.</w:t>
            </w:r>
          </w:p>
        </w:tc>
      </w:tr>
      <w:tr>
        <w:tc>
          <w:tcPr>
            <w:tcW w:w="2600" w:type="dxa"/>
          </w:tcPr>
          <w:p>
            <w:r>
              <w:rPr/>
              <w:t>route_pricing</w:t>
            </w:r>
          </w:p>
        </w:tc>
        <w:tc>
          <w:tcPr>
            <w:tcW w:w="2600" w:type="dxa"/>
          </w:tcPr>
          <w:p>
            <w:r>
              <w:rPr/>
              <w:t>Distances contrôlées.</w:t>
            </w:r>
          </w:p>
        </w:tc>
        <w:tc>
          <w:tcPr>
            <w:tcW w:w="2600" w:type="dxa"/>
          </w:tcPr>
          <w:p>
            <w:r>
              <w:rPr/>
              <w:t>route_key, distance_km, source, status.</w:t>
            </w:r>
          </w:p>
        </w:tc>
      </w:tr>
      <w:tr>
        <w:tc>
          <w:tcPr>
            <w:tcW w:w="2600" w:type="dxa"/>
          </w:tcPr>
          <w:p>
            <w:r>
              <w:rPr/>
              <w:t>audit_logs</w:t>
            </w:r>
          </w:p>
        </w:tc>
        <w:tc>
          <w:tcPr>
            <w:tcW w:w="2600" w:type="dxa"/>
          </w:tcPr>
          <w:p>
            <w:r>
              <w:rPr/>
              <w:t>Traçabilité.</w:t>
            </w:r>
          </w:p>
        </w:tc>
        <w:tc>
          <w:tcPr>
            <w:tcW w:w="2600" w:type="dxa"/>
          </w:tcPr>
          <w:p>
            <w:r>
              <w:rPr/>
              <w:t>entity_type, entity_id, action, metadata.</w:t>
            </w:r>
          </w:p>
        </w:tc>
      </w:tr>
    </w:tbl>
    <w:p>
      <w:pPr>
        <w:pStyle w:val="Heading2"/>
      </w:pPr>
      <w:r>
        <w:t>4.1 Données déclaratives</w:t>
      </w:r>
    </w:p>
    <w:p>
      <w:pPr>
        <w:pStyle w:val="ListParagraph"/>
      </w:pPr>
      <w:r>
        <w:t>• Nom, organisation, email, téléphone, type client.</w:t>
      </w:r>
    </w:p>
    <w:p>
      <w:pPr>
        <w:pStyle w:val="ListParagraph"/>
      </w:pPr>
      <w:r>
        <w:t>• Départ, arrivée, ville intermédiaire, dates, passagers, type de trajet.</w:t>
      </w:r>
    </w:p>
    <w:p>
      <w:pPr>
        <w:pStyle w:val="ListParagraph"/>
      </w:pPr>
      <w:r>
        <w:t>• Options, commentaire libre et contexte commercial.</w:t>
      </w:r>
    </w:p>
    <w:p>
      <w:pPr>
        <w:pStyle w:val="Heading2"/>
      </w:pPr>
      <w:r>
        <w:t>4.2 Données contrôlées</w:t>
      </w:r>
    </w:p>
    <w:p>
      <w:pPr>
        <w:pStyle w:val="ListParagraph"/>
      </w:pPr>
      <w:r>
        <w:t>• Distance issue de route_pricing, OpenRouteService, OSRM ou reprise humaine.</w:t>
      </w:r>
    </w:p>
    <w:p>
      <w:pPr>
        <w:pStyle w:val="ListParagraph"/>
      </w:pPr>
      <w:r>
        <w:t>• Statut produit par le système ou le commercial.</w:t>
      </w:r>
    </w:p>
    <w:p>
      <w:pPr>
        <w:pStyle w:val="ListParagraph"/>
      </w:pPr>
      <w:r>
        <w:t>• request_date injectée par le serveur.</w:t>
      </w:r>
    </w:p>
    <w:p>
      <w:pPr>
        <w:pStyle w:val="Heading2"/>
      </w:pPr>
      <w:r>
        <w:t>4.3 Données calculées</w:t>
      </w:r>
    </w:p>
    <w:p>
      <w:pPr>
        <w:pStyle w:val="ListParagraph"/>
      </w:pPr>
      <w:r>
        <w:t>• Prix HT, TVA, TTC, breakdown, hash déterministe et numéro de devis.</w:t>
      </w:r>
    </w:p>
    <w:p>
      <w:r>
        <w:br w:type="page"/>
      </w:r>
    </w:p>
    <w:p>
      <w:pPr>
        <w:pStyle w:val="Heading1"/>
      </w:pPr>
      <w:r>
        <w:t>5. Procédure repreneur technique</w:t>
      </w:r>
    </w:p>
    <w:p>
      <w:pPr>
        <w:pStyle w:val="Heading2"/>
      </w:pPr>
      <w:r>
        <w:t>5.1 Installation locale</w:t>
      </w:r>
    </w:p>
    <w:p>
      <w:pPr/>
      <w:r>
        <w:t>1. Cloner le dépôt.</w:t>
        <w:br/>
        <w:t>2. Basculer sur last_modif.</w:t>
        <w:br/>
        <w:t>3. Installer : npm install.</w:t>
        <w:br/>
        <w:t>4. Copier .env.example vers .env.local.</w:t>
        <w:br/>
        <w:t>5. Configurer Supabase, IA, n8n et distance.</w:t>
        <w:br/>
        <w:t>6. Lancer : npm run dev.</w:t>
        <w:br/>
        <w:t>7. Vérifier /client/demande, /dashboard, /dashboard/kpis et /dashboard/connexions.</w:t>
      </w:r>
    </w:p>
    <w:p>
      <w:pPr>
        <w:pStyle w:val="Heading2"/>
      </w:pPr>
      <w:r>
        <w:t>5.2 Variables principales</w:t>
      </w:r>
    </w:p>
    <w:tbl>
      <w:tblPr>
        <w:tblStyle w:val="TableGrid"/>
        <w:tblW w:w="0" w:type="auto"/>
        <w:tblBorders>
          <w:top w:val="single" w:sz="4" w:color="B7C9D8"/>
          <w:left w:val="single" w:sz="4" w:color="B7C9D8"/>
          <w:bottom w:val="single" w:sz="4" w:color="B7C9D8"/>
          <w:right w:val="single" w:sz="4" w:color="B7C9D8"/>
          <w:insideH w:val="single" w:sz="4" w:color="B7C9D8"/>
          <w:insideV w:val="single" w:sz="4" w:color="B7C9D8"/>
        </w:tblBorders>
      </w:tblPr>
      <w:tblGrid>
        <w:gridCol w:w="2600"/>
        <w:gridCol w:w="2600"/>
      </w:tblGrid>
      <w:tr>
        <w:tc>
          <w:tcPr>
            <w:shd w:fill="EAF2F8"/>
            <w:tcW w:w="2600" w:type="dxa"/>
          </w:tcPr>
          <w:p>
            <w:r>
              <w:rPr>
                <w:b/>
                <w:color w:val="071E3A"/>
              </w:rPr>
              <w:t>Domaine</w:t>
            </w:r>
          </w:p>
        </w:tc>
        <w:tc>
          <w:tcPr>
            <w:shd w:fill="EAF2F8"/>
            <w:tcW w:w="2600" w:type="dxa"/>
          </w:tcPr>
          <w:p>
            <w:r>
              <w:rPr>
                <w:b/>
                <w:color w:val="071E3A"/>
              </w:rPr>
              <w:t>Variables</w:t>
            </w:r>
          </w:p>
        </w:tc>
      </w:tr>
      <w:tr>
        <w:tc>
          <w:tcPr>
            <w:tcW w:w="2600" w:type="dxa"/>
          </w:tcPr>
          <w:p>
            <w:r>
              <w:rPr/>
              <w:t>Supabase</w:t>
            </w:r>
          </w:p>
        </w:tc>
        <w:tc>
          <w:tcPr>
            <w:tcW w:w="2600" w:type="dxa"/>
          </w:tcPr>
          <w:p>
            <w:r>
              <w:rPr/>
              <w:t>NEXT_PUBLIC_SUPABASE_URL, NEXT_PUBLIC_SUPABASE_ANON_KEY, SUPABASE_SERVICE_ROLE_KEY</w:t>
            </w:r>
          </w:p>
        </w:tc>
      </w:tr>
      <w:tr>
        <w:tc>
          <w:tcPr>
            <w:tcW w:w="2600" w:type="dxa"/>
          </w:tcPr>
          <w:p>
            <w:r>
              <w:rPr/>
              <w:t>IA</w:t>
            </w:r>
          </w:p>
        </w:tc>
        <w:tc>
          <w:tcPr>
            <w:tcW w:w="2600" w:type="dxa"/>
          </w:tcPr>
          <w:p>
            <w:r>
              <w:rPr/>
              <w:t>AI_GATEWAY_API_KEY, AI_GATEWAY_MODEL_ID, AI_API_KEY, AI_MODEL_ID</w:t>
            </w:r>
          </w:p>
        </w:tc>
      </w:tr>
      <w:tr>
        <w:tc>
          <w:tcPr>
            <w:tcW w:w="2600" w:type="dxa"/>
          </w:tcPr>
          <w:p>
            <w:r>
              <w:rPr/>
              <w:t>n8n</w:t>
            </w:r>
          </w:p>
        </w:tc>
        <w:tc>
          <w:tcPr>
            <w:tcW w:w="2600" w:type="dxa"/>
          </w:tcPr>
          <w:p>
            <w:r>
              <w:rPr/>
              <w:t>N8N_BASE_URL, N8N_WEBHOOK_SECRET, N8N_CUSTOMER_EMAIL_WEBHOOK, N8N_SEND_QUOTE_WEBHOOK, N8N_FOLLOWUP_WEBHOOK</w:t>
            </w:r>
          </w:p>
        </w:tc>
      </w:tr>
      <w:tr>
        <w:tc>
          <w:tcPr>
            <w:tcW w:w="2600" w:type="dxa"/>
          </w:tcPr>
          <w:p>
            <w:r>
              <w:rPr/>
              <w:t>Distance</w:t>
            </w:r>
          </w:p>
        </w:tc>
        <w:tc>
          <w:tcPr>
            <w:tcW w:w="2600" w:type="dxa"/>
          </w:tcPr>
          <w:p>
            <w:r>
              <w:rPr/>
              <w:t>ORS_API_KEY, OPENROUTESERVICE_API_KEY, OSRM_BASE_URL, DISTANCE_PROVIDER</w:t>
            </w:r>
          </w:p>
        </w:tc>
      </w:tr>
      <w:tr>
        <w:tc>
          <w:tcPr>
            <w:tcW w:w="2600" w:type="dxa"/>
          </w:tcPr>
          <w:p>
            <w:r>
              <w:rPr/>
              <w:t>App</w:t>
            </w:r>
          </w:p>
        </w:tc>
        <w:tc>
          <w:tcPr>
            <w:tcW w:w="2600" w:type="dxa"/>
          </w:tcPr>
          <w:p>
            <w:r>
              <w:rPr/>
              <w:t>NEXT_PUBLIC_APP_URL, NEXT_PUBLIC_DEMO_MODE, LOCAL_AUTH</w:t>
            </w:r>
          </w:p>
        </w:tc>
      </w:tr>
    </w:tbl>
    <w:p>
      <w:pPr>
        <w:pStyle w:val="Heading2"/>
      </w:pPr>
      <w:r>
        <w:t>5.3 Commandes de validation</w:t>
      </w:r>
    </w:p>
    <w:tbl>
      <w:tblPr>
        <w:tblStyle w:val="TableGrid"/>
        <w:tblW w:w="0" w:type="auto"/>
        <w:tblBorders>
          <w:top w:val="single" w:sz="4" w:color="B7C9D8"/>
          <w:left w:val="single" w:sz="4" w:color="B7C9D8"/>
          <w:bottom w:val="single" w:sz="4" w:color="B7C9D8"/>
          <w:right w:val="single" w:sz="4" w:color="B7C9D8"/>
          <w:insideH w:val="single" w:sz="4" w:color="B7C9D8"/>
          <w:insideV w:val="single" w:sz="4" w:color="B7C9D8"/>
        </w:tblBorders>
      </w:tblPr>
      <w:tblGrid>
        <w:gridCol w:w="2600"/>
        <w:gridCol w:w="2600"/>
      </w:tblGrid>
      <w:tr>
        <w:tc>
          <w:tcPr>
            <w:shd w:fill="EAF2F8"/>
            <w:tcW w:w="2600" w:type="dxa"/>
          </w:tcPr>
          <w:p>
            <w:r>
              <w:rPr>
                <w:b/>
                <w:color w:val="071E3A"/>
              </w:rPr>
              <w:t>Commande</w:t>
            </w:r>
          </w:p>
        </w:tc>
        <w:tc>
          <w:tcPr>
            <w:shd w:fill="EAF2F8"/>
            <w:tcW w:w="2600" w:type="dxa"/>
          </w:tcPr>
          <w:p>
            <w:r>
              <w:rPr>
                <w:b/>
                <w:color w:val="071E3A"/>
              </w:rPr>
              <w:t>But</w:t>
            </w:r>
          </w:p>
        </w:tc>
      </w:tr>
      <w:tr>
        <w:tc>
          <w:tcPr>
            <w:tcW w:w="2600" w:type="dxa"/>
          </w:tcPr>
          <w:p>
            <w:r>
              <w:rPr/>
              <w:t>npm run typecheck</w:t>
            </w:r>
          </w:p>
        </w:tc>
        <w:tc>
          <w:tcPr>
            <w:tcW w:w="2600" w:type="dxa"/>
          </w:tcPr>
          <w:p>
            <w:r>
              <w:rPr/>
              <w:t>Vérifier TypeScript.</w:t>
            </w:r>
          </w:p>
        </w:tc>
      </w:tr>
      <w:tr>
        <w:tc>
          <w:tcPr>
            <w:tcW w:w="2600" w:type="dxa"/>
          </w:tcPr>
          <w:p>
            <w:r>
              <w:rPr/>
              <w:t>npm test</w:t>
            </w:r>
          </w:p>
        </w:tc>
        <w:tc>
          <w:tcPr>
            <w:tcW w:w="2600" w:type="dxa"/>
          </w:tcPr>
          <w:p>
            <w:r>
              <w:rPr/>
              <w:t>Lancer les tests Vitest.</w:t>
            </w:r>
          </w:p>
        </w:tc>
      </w:tr>
      <w:tr>
        <w:tc>
          <w:tcPr>
            <w:tcW w:w="2600" w:type="dxa"/>
          </w:tcPr>
          <w:p>
            <w:r>
              <w:rPr/>
              <w:t>npm run build</w:t>
            </w:r>
          </w:p>
        </w:tc>
        <w:tc>
          <w:tcPr>
            <w:tcW w:w="2600" w:type="dxa"/>
          </w:tcPr>
          <w:p>
            <w:r>
              <w:rPr/>
              <w:t>Vérifier le build Next.js.</w:t>
            </w:r>
          </w:p>
        </w:tc>
      </w:tr>
      <w:tr>
        <w:tc>
          <w:tcPr>
            <w:tcW w:w="2600" w:type="dxa"/>
          </w:tcPr>
          <w:p>
            <w:r>
              <w:rPr/>
              <w:t>npm run test:integration</w:t>
            </w:r>
          </w:p>
        </w:tc>
        <w:tc>
          <w:tcPr>
            <w:tcW w:w="2600" w:type="dxa"/>
          </w:tcPr>
          <w:p>
            <w:r>
              <w:rPr/>
              <w:t>Tester Supabase local si configuré.</w:t>
            </w:r>
          </w:p>
        </w:tc>
      </w:tr>
    </w:tbl>
    <w:p>
      <w:r>
        <w:br w:type="page"/>
      </w:r>
    </w:p>
    <w:p>
      <w:pPr>
        <w:pStyle w:val="Heading1"/>
      </w:pPr>
      <w:r>
        <w:t>6. Modifier la solution</w:t>
      </w:r>
    </w:p>
    <w:tbl>
      <w:tblPr>
        <w:tblStyle w:val="TableGrid"/>
        <w:tblW w:w="0" w:type="auto"/>
        <w:tblBorders>
          <w:top w:val="single" w:sz="4" w:color="B7C9D8"/>
          <w:left w:val="single" w:sz="4" w:color="B7C9D8"/>
          <w:bottom w:val="single" w:sz="4" w:color="B7C9D8"/>
          <w:right w:val="single" w:sz="4" w:color="B7C9D8"/>
          <w:insideH w:val="single" w:sz="4" w:color="B7C9D8"/>
          <w:insideV w:val="single" w:sz="4" w:color="B7C9D8"/>
        </w:tblBorders>
      </w:tblPr>
      <w:tblGrid>
        <w:gridCol w:w="2600"/>
        <w:gridCol w:w="2600"/>
        <w:gridCol w:w="2600"/>
      </w:tblGrid>
      <w:tr>
        <w:tc>
          <w:tcPr>
            <w:shd w:fill="EAF2F8"/>
            <w:tcW w:w="2600" w:type="dxa"/>
          </w:tcPr>
          <w:p>
            <w:r>
              <w:rPr>
                <w:b/>
                <w:color w:val="071E3A"/>
              </w:rPr>
              <w:t>Besoin</w:t>
            </w:r>
          </w:p>
        </w:tc>
        <w:tc>
          <w:tcPr>
            <w:shd w:fill="EAF2F8"/>
            <w:tcW w:w="2600" w:type="dxa"/>
          </w:tcPr>
          <w:p>
            <w:r>
              <w:rPr>
                <w:b/>
                <w:color w:val="071E3A"/>
              </w:rPr>
              <w:t>Fichiers principaux</w:t>
            </w:r>
          </w:p>
        </w:tc>
        <w:tc>
          <w:tcPr>
            <w:shd w:fill="EAF2F8"/>
            <w:tcW w:w="2600" w:type="dxa"/>
          </w:tcPr>
          <w:p>
            <w:r>
              <w:rPr>
                <w:b/>
                <w:color w:val="071E3A"/>
              </w:rPr>
              <w:t>Précaution</w:t>
            </w:r>
          </w:p>
        </w:tc>
      </w:tr>
      <w:tr>
        <w:tc>
          <w:tcPr>
            <w:tcW w:w="2600" w:type="dxa"/>
          </w:tcPr>
          <w:p>
            <w:r>
              <w:rPr/>
              <w:t>Modifier le pricing</w:t>
            </w:r>
          </w:p>
        </w:tc>
        <w:tc>
          <w:tcPr>
            <w:tcW w:w="2600" w:type="dxa"/>
          </w:tcPr>
          <w:p>
            <w:r>
              <w:rPr/>
              <w:t>src/lib/pricing/calculer-devis.ts</w:t>
            </w:r>
          </w:p>
        </w:tc>
        <w:tc>
          <w:tcPr>
            <w:tcW w:w="2600" w:type="dxa"/>
          </w:tcPr>
          <w:p>
            <w:r>
              <w:rPr/>
              <w:t>Ne jamais déplacer le prix dans le prompt IA.</w:t>
            </w:r>
          </w:p>
        </w:tc>
      </w:tr>
      <w:tr>
        <w:tc>
          <w:tcPr>
            <w:tcW w:w="2600" w:type="dxa"/>
          </w:tcPr>
          <w:p>
            <w:r>
              <w:rPr/>
              <w:t>Modifier le chat</w:t>
            </w:r>
          </w:p>
        </w:tc>
        <w:tc>
          <w:tcPr>
            <w:tcW w:w="2600" w:type="dxa"/>
          </w:tcPr>
          <w:p>
            <w:r>
              <w:rPr/>
              <w:t>src/app/api/chat/route.ts, src/lib/ai/*</w:t>
            </w:r>
          </w:p>
        </w:tc>
        <w:tc>
          <w:tcPr>
            <w:tcW w:w="2600" w:type="dxa"/>
          </w:tcPr>
          <w:p>
            <w:r>
              <w:rPr/>
              <w:t>Tester extraction multi-tour.</w:t>
            </w:r>
          </w:p>
        </w:tc>
      </w:tr>
      <w:tr>
        <w:tc>
          <w:tcPr>
            <w:tcW w:w="2600" w:type="dxa"/>
          </w:tcPr>
          <w:p>
            <w:r>
              <w:rPr/>
              <w:t>Ajouter un champ client</w:t>
            </w:r>
          </w:p>
        </w:tc>
        <w:tc>
          <w:tcPr>
            <w:tcW w:w="2600" w:type="dxa"/>
          </w:tcPr>
          <w:p>
            <w:r>
              <w:rPr/>
              <w:t>schema.sql, migrations, DemandConversation, LeadEditForm</w:t>
            </w:r>
          </w:p>
        </w:tc>
        <w:tc>
          <w:tcPr>
            <w:tcW w:w="2600" w:type="dxa"/>
          </w:tcPr>
          <w:p>
            <w:r>
              <w:rPr/>
              <w:t>Synchroniser API et types.</w:t>
            </w:r>
          </w:p>
        </w:tc>
      </w:tr>
      <w:tr>
        <w:tc>
          <w:tcPr>
            <w:tcW w:w="2600" w:type="dxa"/>
          </w:tcPr>
          <w:p>
            <w:r>
              <w:rPr/>
              <w:t>Modifier les emails</w:t>
            </w:r>
          </w:p>
        </w:tc>
        <w:tc>
          <w:tcPr>
            <w:tcW w:w="2600" w:type="dxa"/>
          </w:tcPr>
          <w:p>
            <w:r>
              <w:rPr/>
              <w:t>src/features/emails/templates, customerEmailService.ts</w:t>
            </w:r>
          </w:p>
        </w:tc>
        <w:tc>
          <w:tcPr>
            <w:tcW w:w="2600" w:type="dxa"/>
          </w:tcPr>
          <w:p>
            <w:r>
              <w:rPr/>
              <w:t>Tester n8n et simulation.</w:t>
            </w:r>
          </w:p>
        </w:tc>
      </w:tr>
      <w:tr>
        <w:tc>
          <w:tcPr>
            <w:tcW w:w="2600" w:type="dxa"/>
          </w:tcPr>
          <w:p>
            <w:r>
              <w:rPr/>
              <w:t>Modifier les relances</w:t>
            </w:r>
          </w:p>
        </w:tc>
        <w:tc>
          <w:tcPr>
            <w:tcW w:w="2600" w:type="dxa"/>
          </w:tcPr>
          <w:p>
            <w:r>
              <w:rPr/>
              <w:t>scheduleFollowups.ts</w:t>
            </w:r>
          </w:p>
        </w:tc>
        <w:tc>
          <w:tcPr>
            <w:tcW w:w="2600" w:type="dxa"/>
          </w:tcPr>
          <w:p>
            <w:r>
              <w:rPr/>
              <w:t>Aligner tests et règles métier.</w:t>
            </w:r>
          </w:p>
        </w:tc>
      </w:tr>
      <w:tr>
        <w:tc>
          <w:tcPr>
            <w:tcW w:w="2600" w:type="dxa"/>
          </w:tcPr>
          <w:p>
            <w:r>
              <w:rPr/>
              <w:t>Modifier les statuts</w:t>
            </w:r>
          </w:p>
        </w:tc>
        <w:tc>
          <w:tcPr>
            <w:tcW w:w="2600" w:type="dxa"/>
          </w:tcPr>
          <w:p>
            <w:r>
              <w:rPr/>
              <w:t>status.ts, schema.sql, dashboard</w:t>
            </w:r>
          </w:p>
        </w:tc>
        <w:tc>
          <w:tcPr>
            <w:tcW w:w="2600" w:type="dxa"/>
          </w:tcPr>
          <w:p>
            <w:r>
              <w:rPr/>
              <w:t>Éviter divergences avec le contrat technique.</w:t>
            </w:r>
          </w:p>
        </w:tc>
      </w:tr>
      <w:tr>
        <w:tc>
          <w:tcPr>
            <w:tcW w:w="2600" w:type="dxa"/>
          </w:tcPr>
          <w:p>
            <w:r>
              <w:rPr/>
              <w:t>Modifier le dashboard</w:t>
            </w:r>
          </w:p>
        </w:tc>
        <w:tc>
          <w:tcPr>
            <w:tcW w:w="2600" w:type="dxa"/>
          </w:tcPr>
          <w:p>
            <w:r>
              <w:rPr/>
              <w:t>features/dashboard/components</w:t>
            </w:r>
          </w:p>
        </w:tc>
        <w:tc>
          <w:tcPr>
            <w:tcW w:w="2600" w:type="dxa"/>
          </w:tcPr>
          <w:p>
            <w:r>
              <w:rPr/>
              <w:t>Vérifier navigation et KPIs.</w:t>
            </w:r>
          </w:p>
        </w:tc>
      </w:tr>
    </w:tbl>
    <w:p>
      <w:pPr>
        <w:pStyle w:val="Heading2"/>
      </w:pPr>
      <w:r>
        <w:t>6.1 Règles métier à ne pas casser</w:t>
      </w:r>
    </w:p>
    <w:p>
      <w:pPr>
        <w:pStyle w:val="ListParagraph"/>
      </w:pPr>
      <w:r>
        <w:t>• Aucun devis sans champs critiques.</w:t>
      </w:r>
    </w:p>
    <w:p>
      <w:pPr>
        <w:pStyle w:val="ListParagraph"/>
      </w:pPr>
      <w:r>
        <w:t>• Aucun prix inventé par IA.</w:t>
      </w:r>
    </w:p>
    <w:p>
      <w:pPr>
        <w:pStyle w:val="ListParagraph"/>
      </w:pPr>
      <w:r>
        <w:t>• Aucune distance inventée par IA.</w:t>
      </w:r>
    </w:p>
    <w:p>
      <w:pPr>
        <w:pStyle w:val="ListParagraph"/>
      </w:pPr>
      <w:r>
        <w:t>• Multi-destination prudent si distance non contrôlée.</w:t>
      </w:r>
    </w:p>
    <w:p>
      <w:pPr>
        <w:pStyle w:val="ListParagraph"/>
      </w:pPr>
      <w:r>
        <w:t>• Départ &lt; 48h en reprise humaine.</w:t>
      </w:r>
    </w:p>
    <w:p>
      <w:r>
        <w:br w:type="page"/>
      </w:r>
    </w:p>
    <w:p>
      <w:pPr>
        <w:pStyle w:val="Heading1"/>
      </w:pPr>
      <w:r>
        <w:t>7. Procédure équipes NeoTravel</w:t>
      </w:r>
    </w:p>
    <w:p>
      <w:pPr>
        <w:pStyle w:val="ListParagraph"/>
      </w:pPr>
      <w:r>
        <w:t>• Ouvrir le dashboard et consulter la file priorisée.</w:t>
      </w:r>
    </w:p>
    <w:p>
      <w:pPr>
        <w:pStyle w:val="ListParagraph"/>
      </w:pPr>
      <w:r>
        <w:t>• Ouvrir une demande et vérifier trajet, coordonnées, dates, passagers et options.</w:t>
      </w:r>
    </w:p>
    <w:p>
      <w:pPr>
        <w:pStyle w:val="ListParagraph"/>
      </w:pPr>
      <w:r>
        <w:t>• Traiter les demandes INCOMPLETE en demandant les précisions manquantes.</w:t>
      </w:r>
    </w:p>
    <w:p>
      <w:pPr>
        <w:pStyle w:val="ListParagraph"/>
      </w:pPr>
      <w:r>
        <w:t>• Reprendre les dossiers HUMAN_REVIEW avant tout devis automatique.</w:t>
      </w:r>
    </w:p>
    <w:p>
      <w:pPr>
        <w:pStyle w:val="ListParagraph"/>
      </w:pPr>
      <w:r>
        <w:t>• Archiver une demande non traitable avec une raison claire.</w:t>
      </w:r>
    </w:p>
    <w:p>
      <w:pPr>
        <w:pStyle w:val="ListParagraph"/>
      </w:pPr>
      <w:r>
        <w:t>• Lire les KPIs pour piloter leads, devis, conversion, relances, urgences et délais.</w:t>
      </w:r>
    </w:p>
    <w:p>
      <w:pPr>
        <w:pStyle w:val="Heading2"/>
      </w:pPr>
      <w:r>
        <w:t>7.1 Comprendre les KPIs</w:t>
      </w:r>
    </w:p>
    <w:tbl>
      <w:tblPr>
        <w:tblStyle w:val="TableGrid"/>
        <w:tblW w:w="0" w:type="auto"/>
        <w:tblBorders>
          <w:top w:val="single" w:sz="4" w:color="B7C9D8"/>
          <w:left w:val="single" w:sz="4" w:color="B7C9D8"/>
          <w:bottom w:val="single" w:sz="4" w:color="B7C9D8"/>
          <w:right w:val="single" w:sz="4" w:color="B7C9D8"/>
          <w:insideH w:val="single" w:sz="4" w:color="B7C9D8"/>
          <w:insideV w:val="single" w:sz="4" w:color="B7C9D8"/>
        </w:tblBorders>
      </w:tblPr>
      <w:tblGrid>
        <w:gridCol w:w="2600"/>
        <w:gridCol w:w="2600"/>
      </w:tblGrid>
      <w:tr>
        <w:tc>
          <w:tcPr>
            <w:shd w:fill="EAF2F8"/>
            <w:tcW w:w="2600" w:type="dxa"/>
          </w:tcPr>
          <w:p>
            <w:r>
              <w:rPr>
                <w:b/>
                <w:color w:val="071E3A"/>
              </w:rPr>
              <w:t>KPI</w:t>
            </w:r>
          </w:p>
        </w:tc>
        <w:tc>
          <w:tcPr>
            <w:shd w:fill="EAF2F8"/>
            <w:tcW w:w="2600" w:type="dxa"/>
          </w:tcPr>
          <w:p>
            <w:r>
              <w:rPr>
                <w:b/>
                <w:color w:val="071E3A"/>
              </w:rPr>
              <w:t>Lecture</w:t>
            </w:r>
          </w:p>
        </w:tc>
      </w:tr>
      <w:tr>
        <w:tc>
          <w:tcPr>
            <w:tcW w:w="2600" w:type="dxa"/>
          </w:tcPr>
          <w:p>
            <w:r>
              <w:rPr/>
              <w:t>Leads reçus</w:t>
            </w:r>
          </w:p>
        </w:tc>
        <w:tc>
          <w:tcPr>
            <w:tcW w:w="2600" w:type="dxa"/>
          </w:tcPr>
          <w:p>
            <w:r>
              <w:rPr/>
              <w:t>Volume total de demandes entrantes.</w:t>
            </w:r>
          </w:p>
        </w:tc>
      </w:tr>
      <w:tr>
        <w:tc>
          <w:tcPr>
            <w:tcW w:w="2600" w:type="dxa"/>
          </w:tcPr>
          <w:p>
            <w:r>
              <w:rPr/>
              <w:t>Demandes urgentes</w:t>
            </w:r>
          </w:p>
        </w:tc>
        <w:tc>
          <w:tcPr>
            <w:tcW w:w="2600" w:type="dxa"/>
          </w:tcPr>
          <w:p>
            <w:r>
              <w:rPr/>
              <w:t>Départs proches, très urgent ou urgent.</w:t>
            </w:r>
          </w:p>
        </w:tc>
      </w:tr>
      <w:tr>
        <w:tc>
          <w:tcPr>
            <w:tcW w:w="2600" w:type="dxa"/>
          </w:tcPr>
          <w:p>
            <w:r>
              <w:rPr/>
              <w:t>Demandes incomplètes</w:t>
            </w:r>
          </w:p>
        </w:tc>
        <w:tc>
          <w:tcPr>
            <w:tcW w:w="2600" w:type="dxa"/>
          </w:tcPr>
          <w:p>
            <w:r>
              <w:rPr/>
              <w:t>Dossiers bloqués avant devis.</w:t>
            </w:r>
          </w:p>
        </w:tc>
      </w:tr>
      <w:tr>
        <w:tc>
          <w:tcPr>
            <w:tcW w:w="2600" w:type="dxa"/>
          </w:tcPr>
          <w:p>
            <w:r>
              <w:rPr/>
              <w:t>Devis générés</w:t>
            </w:r>
          </w:p>
        </w:tc>
        <w:tc>
          <w:tcPr>
            <w:tcW w:w="2600" w:type="dxa"/>
          </w:tcPr>
          <w:p>
            <w:r>
              <w:rPr/>
              <w:t>Devis créés par le moteur.</w:t>
            </w:r>
          </w:p>
        </w:tc>
      </w:tr>
      <w:tr>
        <w:tc>
          <w:tcPr>
            <w:tcW w:w="2600" w:type="dxa"/>
          </w:tcPr>
          <w:p>
            <w:r>
              <w:rPr/>
              <w:t>Devis envoyés</w:t>
            </w:r>
          </w:p>
        </w:tc>
        <w:tc>
          <w:tcPr>
            <w:tcW w:w="2600" w:type="dxa"/>
          </w:tcPr>
          <w:p>
            <w:r>
              <w:rPr/>
              <w:t>Propositions transmises.</w:t>
            </w:r>
          </w:p>
        </w:tc>
      </w:tr>
      <w:tr>
        <w:tc>
          <w:tcPr>
            <w:tcW w:w="2600" w:type="dxa"/>
          </w:tcPr>
          <w:p>
            <w:r>
              <w:rPr/>
              <w:t>Conversion devis</w:t>
            </w:r>
          </w:p>
        </w:tc>
        <w:tc>
          <w:tcPr>
            <w:tcW w:w="2600" w:type="dxa"/>
          </w:tcPr>
          <w:p>
            <w:r>
              <w:rPr/>
              <w:t>Devis acceptés / devis envoyés.</w:t>
            </w:r>
          </w:p>
        </w:tc>
      </w:tr>
      <w:tr>
        <w:tc>
          <w:tcPr>
            <w:tcW w:w="2600" w:type="dxa"/>
          </w:tcPr>
          <w:p>
            <w:r>
              <w:rPr/>
              <w:t>Relances en retard</w:t>
            </w:r>
          </w:p>
        </w:tc>
        <w:tc>
          <w:tcPr>
            <w:tcW w:w="2600" w:type="dxa"/>
          </w:tcPr>
          <w:p>
            <w:r>
              <w:rPr/>
              <w:t>Relances dont la date est dépassée.</w:t>
            </w:r>
          </w:p>
        </w:tc>
      </w:tr>
      <w:tr>
        <w:tc>
          <w:tcPr>
            <w:tcW w:w="2600" w:type="dxa"/>
          </w:tcPr>
          <w:p>
            <w:r>
              <w:rPr/>
              <w:t>Demandes traitées automatiquement</w:t>
            </w:r>
          </w:p>
        </w:tc>
        <w:tc>
          <w:tcPr>
            <w:tcW w:w="2600" w:type="dxa"/>
          </w:tcPr>
          <w:p>
            <w:r>
              <w:rPr/>
              <w:t>Flux IA + règles + workflow sans reprise humaine.</w:t>
            </w:r>
          </w:p>
        </w:tc>
      </w:tr>
    </w:tbl>
    <w:p>
      <w:r>
        <w:br w:type="page"/>
      </w:r>
    </w:p>
    <w:p>
      <w:pPr>
        <w:pStyle w:val="Heading1"/>
      </w:pPr>
      <w:r>
        <w:t>8. Cas limites, incidents et décisions</w:t>
      </w:r>
    </w:p>
    <w:tbl>
      <w:tblPr>
        <w:tblStyle w:val="TableGrid"/>
        <w:tblW w:w="0" w:type="auto"/>
        <w:tblBorders>
          <w:top w:val="single" w:sz="4" w:color="B7C9D8"/>
          <w:left w:val="single" w:sz="4" w:color="B7C9D8"/>
          <w:bottom w:val="single" w:sz="4" w:color="B7C9D8"/>
          <w:right w:val="single" w:sz="4" w:color="B7C9D8"/>
          <w:insideH w:val="single" w:sz="4" w:color="B7C9D8"/>
          <w:insideV w:val="single" w:sz="4" w:color="B7C9D8"/>
        </w:tblBorders>
      </w:tblPr>
      <w:tblGrid>
        <w:gridCol w:w="2600"/>
        <w:gridCol w:w="2600"/>
      </w:tblGrid>
      <w:tr>
        <w:tc>
          <w:tcPr>
            <w:shd w:fill="EAF2F8"/>
            <w:tcW w:w="2600" w:type="dxa"/>
          </w:tcPr>
          <w:p>
            <w:r>
              <w:rPr>
                <w:b/>
                <w:color w:val="071E3A"/>
              </w:rPr>
              <w:t>Situation</w:t>
            </w:r>
          </w:p>
        </w:tc>
        <w:tc>
          <w:tcPr>
            <w:shd w:fill="EAF2F8"/>
            <w:tcW w:w="2600" w:type="dxa"/>
          </w:tcPr>
          <w:p>
            <w:r>
              <w:rPr>
                <w:b/>
                <w:color w:val="071E3A"/>
              </w:rPr>
              <w:t>Comportement attendu</w:t>
            </w:r>
          </w:p>
        </w:tc>
      </w:tr>
      <w:tr>
        <w:tc>
          <w:tcPr>
            <w:tcW w:w="2600" w:type="dxa"/>
          </w:tcPr>
          <w:p>
            <w:r>
              <w:rPr/>
              <w:t>Ville inconnue ou faute</w:t>
            </w:r>
          </w:p>
        </w:tc>
        <w:tc>
          <w:tcPr>
            <w:tcW w:w="2600" w:type="dxa"/>
          </w:tcPr>
          <w:p>
            <w:r>
              <w:rPr/>
              <w:t>Correction fiable si référentiel connu, sinon HUMAN_REVIEW.</w:t>
            </w:r>
          </w:p>
        </w:tc>
      </w:tr>
      <w:tr>
        <w:tc>
          <w:tcPr>
            <w:tcW w:w="2600" w:type="dxa"/>
          </w:tcPr>
          <w:p>
            <w:r>
              <w:rPr/>
              <w:t>Trajet avec escale</w:t>
            </w:r>
          </w:p>
        </w:tc>
        <w:tc>
          <w:tcPr>
            <w:tcW w:w="2600" w:type="dxa"/>
          </w:tcPr>
          <w:p>
            <w:r>
              <w:rPr/>
              <w:t>Ville intermédiaire affichée ; devis prudent si non contrôlé.</w:t>
            </w:r>
          </w:p>
        </w:tc>
      </w:tr>
      <w:tr>
        <w:tc>
          <w:tcPr>
            <w:tcW w:w="2600" w:type="dxa"/>
          </w:tcPr>
          <w:p>
            <w:r>
              <w:rPr/>
              <w:t>Départ &lt; 48h</w:t>
            </w:r>
          </w:p>
        </w:tc>
        <w:tc>
          <w:tcPr>
            <w:tcW w:w="2600" w:type="dxa"/>
          </w:tcPr>
          <w:p>
            <w:r>
              <w:rPr/>
              <w:t>HUMAN_REVIEW.</w:t>
            </w:r>
          </w:p>
        </w:tc>
      </w:tr>
      <w:tr>
        <w:tc>
          <w:tcPr>
            <w:tcW w:w="2600" w:type="dxa"/>
          </w:tcPr>
          <w:p>
            <w:r>
              <w:rPr/>
              <w:t>Départ 48h à 7j</w:t>
            </w:r>
          </w:p>
        </w:tc>
        <w:tc>
          <w:tcPr>
            <w:tcW w:w="2600" w:type="dxa"/>
          </w:tcPr>
          <w:p>
            <w:r>
              <w:rPr/>
              <w:t>Urgent : relance J+2 après devis envoyé.</w:t>
            </w:r>
          </w:p>
        </w:tc>
      </w:tr>
      <w:tr>
        <w:tc>
          <w:tcPr>
            <w:tcW w:w="2600" w:type="dxa"/>
          </w:tcPr>
          <w:p>
            <w:r>
              <w:rPr/>
              <w:t>Départ &gt; 7j</w:t>
            </w:r>
          </w:p>
        </w:tc>
        <w:tc>
          <w:tcPr>
            <w:tcW w:w="2600" w:type="dxa"/>
          </w:tcPr>
          <w:p>
            <w:r>
              <w:rPr/>
              <w:t>Standard : relances J+3 et J+7.</w:t>
            </w:r>
          </w:p>
        </w:tc>
      </w:tr>
      <w:tr>
        <w:tc>
          <w:tcPr>
            <w:tcW w:w="2600" w:type="dxa"/>
          </w:tcPr>
          <w:p>
            <w:r>
              <w:rPr/>
              <w:t>0 ou &gt;85 passagers</w:t>
            </w:r>
          </w:p>
        </w:tc>
        <w:tc>
          <w:tcPr>
            <w:tcW w:w="2600" w:type="dxa"/>
          </w:tcPr>
          <w:p>
            <w:r>
              <w:rPr/>
              <w:t>HUMAN_REVIEW, aucun devis automatique.</w:t>
            </w:r>
          </w:p>
        </w:tc>
      </w:tr>
      <w:tr>
        <w:tc>
          <w:tcPr>
            <w:tcW w:w="2600" w:type="dxa"/>
          </w:tcPr>
          <w:p>
            <w:r>
              <w:rPr/>
              <w:t>IA indisponible</w:t>
            </w:r>
          </w:p>
        </w:tc>
        <w:tc>
          <w:tcPr>
            <w:tcW w:w="2600" w:type="dxa"/>
          </w:tcPr>
          <w:p>
            <w:r>
              <w:rPr/>
              <w:t>Réponse de secours ou reprise manuelle.</w:t>
            </w:r>
          </w:p>
        </w:tc>
      </w:tr>
      <w:tr>
        <w:tc>
          <w:tcPr>
            <w:tcW w:w="2600" w:type="dxa"/>
          </w:tcPr>
          <w:p>
            <w:r>
              <w:rPr/>
              <w:t>n8n indisponible</w:t>
            </w:r>
          </w:p>
        </w:tc>
        <w:tc>
          <w:tcPr>
            <w:tcW w:w="2600" w:type="dxa"/>
          </w:tcPr>
          <w:p>
            <w:r>
              <w:rPr/>
              <w:t>Envoi simulé et journalisé.</w:t>
            </w:r>
          </w:p>
        </w:tc>
      </w:tr>
    </w:tbl>
    <w:p>
      <w:pPr>
        <w:pStyle w:val="Heading2"/>
      </w:pPr>
      <w:r>
        <w:t>8.2 Runbook incidents</w:t>
      </w:r>
    </w:p>
    <w:tbl>
      <w:tblPr>
        <w:tblStyle w:val="TableGrid"/>
        <w:tblW w:w="0" w:type="auto"/>
        <w:tblBorders>
          <w:top w:val="single" w:sz="4" w:color="B7C9D8"/>
          <w:left w:val="single" w:sz="4" w:color="B7C9D8"/>
          <w:bottom w:val="single" w:sz="4" w:color="B7C9D8"/>
          <w:right w:val="single" w:sz="4" w:color="B7C9D8"/>
          <w:insideH w:val="single" w:sz="4" w:color="B7C9D8"/>
          <w:insideV w:val="single" w:sz="4" w:color="B7C9D8"/>
        </w:tblBorders>
      </w:tblPr>
      <w:tblGrid>
        <w:gridCol w:w="2600"/>
        <w:gridCol w:w="2600"/>
        <w:gridCol w:w="2600"/>
      </w:tblGrid>
      <w:tr>
        <w:tc>
          <w:tcPr>
            <w:shd w:fill="EAF2F8"/>
            <w:tcW w:w="2600" w:type="dxa"/>
          </w:tcPr>
          <w:p>
            <w:r>
              <w:rPr>
                <w:b/>
                <w:color w:val="071E3A"/>
              </w:rPr>
              <w:t>Incident</w:t>
            </w:r>
          </w:p>
        </w:tc>
        <w:tc>
          <w:tcPr>
            <w:shd w:fill="EAF2F8"/>
            <w:tcW w:w="2600" w:type="dxa"/>
          </w:tcPr>
          <w:p>
            <w:r>
              <w:rPr>
                <w:b/>
                <w:color w:val="071E3A"/>
              </w:rPr>
              <w:t>Vérification</w:t>
            </w:r>
          </w:p>
        </w:tc>
        <w:tc>
          <w:tcPr>
            <w:shd w:fill="EAF2F8"/>
            <w:tcW w:w="2600" w:type="dxa"/>
          </w:tcPr>
          <w:p>
            <w:r>
              <w:rPr>
                <w:b/>
                <w:color w:val="071E3A"/>
              </w:rPr>
              <w:t>Action</w:t>
            </w:r>
          </w:p>
        </w:tc>
      </w:tr>
      <w:tr>
        <w:tc>
          <w:tcPr>
            <w:tcW w:w="2600" w:type="dxa"/>
          </w:tcPr>
          <w:p>
            <w:r>
              <w:rPr/>
              <w:t>Le devis ne se calcule pas</w:t>
            </w:r>
          </w:p>
        </w:tc>
        <w:tc>
          <w:tcPr>
            <w:tcW w:w="2600" w:type="dxa"/>
          </w:tcPr>
          <w:p>
            <w:r>
              <w:rPr/>
              <w:t>Champs obligatoires, statut, distance.</w:t>
            </w:r>
          </w:p>
        </w:tc>
        <w:tc>
          <w:tcPr>
            <w:tcW w:w="2600" w:type="dxa"/>
          </w:tcPr>
          <w:p>
            <w:r>
              <w:rPr/>
              <w:t>Corriger ou passer en HUMAN_REVIEW.</w:t>
            </w:r>
          </w:p>
        </w:tc>
      </w:tr>
      <w:tr>
        <w:tc>
          <w:tcPr>
            <w:tcW w:w="2600" w:type="dxa"/>
          </w:tcPr>
          <w:p>
            <w:r>
              <w:rPr/>
              <w:t>L'email ne part pas</w:t>
            </w:r>
          </w:p>
        </w:tc>
        <w:tc>
          <w:tcPr>
            <w:tcW w:w="2600" w:type="dxa"/>
          </w:tcPr>
          <w:p>
            <w:r>
              <w:rPr/>
              <w:t>N8N_CUSTOMER_EMAIL_WEBHOOK.</w:t>
            </w:r>
          </w:p>
        </w:tc>
        <w:tc>
          <w:tcPr>
            <w:tcW w:w="2600" w:type="dxa"/>
          </w:tcPr>
          <w:p>
            <w:r>
              <w:rPr/>
              <w:t>Mode simulé ou réactiver workflow.</w:t>
            </w:r>
          </w:p>
        </w:tc>
      </w:tr>
      <w:tr>
        <w:tc>
          <w:tcPr>
            <w:tcW w:w="2600" w:type="dxa"/>
          </w:tcPr>
          <w:p>
            <w:r>
              <w:rPr/>
              <w:t>Les relances ne partent pas</w:t>
            </w:r>
          </w:p>
        </w:tc>
        <w:tc>
          <w:tcPr>
            <w:tcW w:w="2600" w:type="dxa"/>
          </w:tcPr>
          <w:p>
            <w:r>
              <w:rPr/>
              <w:t>N8N_FOLLOWUP_WEBHOOK et exécutions n8n.</w:t>
            </w:r>
          </w:p>
        </w:tc>
        <w:tc>
          <w:tcPr>
            <w:tcW w:w="2600" w:type="dxa"/>
          </w:tcPr>
          <w:p>
            <w:r>
              <w:rPr/>
              <w:t>Relancer workflow ou replanifier.</w:t>
            </w:r>
          </w:p>
        </w:tc>
      </w:tr>
      <w:tr>
        <w:tc>
          <w:tcPr>
            <w:tcW w:w="2600" w:type="dxa"/>
          </w:tcPr>
          <w:p>
            <w:r>
              <w:rPr/>
              <w:t>Dashboard vide</w:t>
            </w:r>
          </w:p>
        </w:tc>
        <w:tc>
          <w:tcPr>
            <w:tcW w:w="2600" w:type="dxa"/>
          </w:tcPr>
          <w:p>
            <w:r>
              <w:rPr/>
              <w:t>Supabase / mode démo.</w:t>
            </w:r>
          </w:p>
        </w:tc>
        <w:tc>
          <w:tcPr>
            <w:tcW w:w="2600" w:type="dxa"/>
          </w:tcPr>
          <w:p>
            <w:r>
              <w:rPr/>
              <w:t>Contrôler variables d'environnement.</w:t>
            </w:r>
          </w:p>
        </w:tc>
      </w:tr>
      <w:tr>
        <w:tc>
          <w:tcPr>
            <w:tcW w:w="2600" w:type="dxa"/>
          </w:tcPr>
          <w:p>
            <w:r>
              <w:rPr/>
              <w:t>Distance inconnue</w:t>
            </w:r>
          </w:p>
        </w:tc>
        <w:tc>
          <w:tcPr>
            <w:tcW w:w="2600" w:type="dxa"/>
          </w:tcPr>
          <w:p>
            <w:r>
              <w:rPr/>
              <w:t>route_pricing / ORS / OSRM.</w:t>
            </w:r>
          </w:p>
        </w:tc>
        <w:tc>
          <w:tcPr>
            <w:tcW w:w="2600" w:type="dxa"/>
          </w:tcPr>
          <w:p>
            <w:r>
              <w:rPr/>
              <w:t>Ne pas inventer ; HUMAN_REVIEW.</w:t>
            </w:r>
          </w:p>
        </w:tc>
      </w:tr>
      <w:tr>
        <w:tc>
          <w:tcPr>
            <w:tcW w:w="2600" w:type="dxa"/>
          </w:tcPr>
          <w:p>
            <w:r>
              <w:rPr/>
              <w:t>IA ne répond pas</w:t>
            </w:r>
          </w:p>
        </w:tc>
        <w:tc>
          <w:tcPr>
            <w:tcW w:w="2600" w:type="dxa"/>
          </w:tcPr>
          <w:p>
            <w:r>
              <w:rPr/>
              <w:t>AI_GATEWAY_API_KEY, AI_API_KEY, logs.</w:t>
            </w:r>
          </w:p>
        </w:tc>
        <w:tc>
          <w:tcPr>
            <w:tcW w:w="2600" w:type="dxa"/>
          </w:tcPr>
          <w:p>
            <w:r>
              <w:rPr/>
              <w:t>Fallback ou reprise manuelle.</w:t>
            </w:r>
          </w:p>
        </w:tc>
      </w:tr>
    </w:tbl>
    <w:p>
      <w:r>
        <w:br w:type="page"/>
      </w:r>
    </w:p>
    <w:p>
      <w:pPr>
        <w:pStyle w:val="Heading1"/>
      </w:pPr>
      <w:r>
        <w:t>9. Tests et validation</w:t>
      </w:r>
    </w:p>
    <w:p>
      <w:pPr>
        <w:pStyle w:val="ListParagraph"/>
      </w:pPr>
      <w:r>
        <w:t>• Demande complète Paris -&gt; Lyon.</w:t>
      </w:r>
    </w:p>
    <w:p>
      <w:pPr>
        <w:pStyle w:val="ListParagraph"/>
      </w:pPr>
      <w:r>
        <w:t>• Demande incomplète.</w:t>
      </w:r>
    </w:p>
    <w:p>
      <w:pPr>
        <w:pStyle w:val="ListParagraph"/>
      </w:pPr>
      <w:r>
        <w:t>• Prompt injection.</w:t>
      </w:r>
    </w:p>
    <w:p>
      <w:pPr>
        <w:pStyle w:val="ListParagraph"/>
      </w:pPr>
      <w:r>
        <w:t>• 0 passager et 95 passagers.</w:t>
      </w:r>
    </w:p>
    <w:p>
      <w:pPr>
        <w:pStyle w:val="ListParagraph"/>
      </w:pPr>
      <w:r>
        <w:t>• Date passée, route inconnue, trajet avec escale.</w:t>
      </w:r>
    </w:p>
    <w:p>
      <w:pPr>
        <w:pStyle w:val="ListParagraph"/>
      </w:pPr>
      <w:r>
        <w:t>• Relances standard et urgente.</w:t>
      </w:r>
    </w:p>
    <w:p>
      <w:pPr>
        <w:pStyle w:val="ListParagraph"/>
      </w:pPr>
      <w:r>
        <w:t>• Recherche dashboard, archive, KPIs.</w:t>
      </w:r>
    </w:p>
    <w:p>
      <w:pPr>
        <w:pStyle w:val="Heading2"/>
      </w:pPr>
      <w:r>
        <w:t>9.1 Golden set minimal</w:t>
      </w:r>
    </w:p>
    <w:tbl>
      <w:tblPr>
        <w:tblStyle w:val="TableGrid"/>
        <w:tblW w:w="0" w:type="auto"/>
        <w:tblBorders>
          <w:top w:val="single" w:sz="4" w:color="B7C9D8"/>
          <w:left w:val="single" w:sz="4" w:color="B7C9D8"/>
          <w:bottom w:val="single" w:sz="4" w:color="B7C9D8"/>
          <w:right w:val="single" w:sz="4" w:color="B7C9D8"/>
          <w:insideH w:val="single" w:sz="4" w:color="B7C9D8"/>
          <w:insideV w:val="single" w:sz="4" w:color="B7C9D8"/>
        </w:tblBorders>
      </w:tblPr>
      <w:tblGrid>
        <w:gridCol w:w="2600"/>
        <w:gridCol w:w="2600"/>
      </w:tblGrid>
      <w:tr>
        <w:tc>
          <w:tcPr>
            <w:shd w:fill="EAF2F8"/>
            <w:tcW w:w="2600" w:type="dxa"/>
          </w:tcPr>
          <w:p>
            <w:r>
              <w:rPr>
                <w:b/>
                <w:color w:val="071E3A"/>
              </w:rPr>
              <w:t>Cas</w:t>
            </w:r>
          </w:p>
        </w:tc>
        <w:tc>
          <w:tcPr>
            <w:shd w:fill="EAF2F8"/>
            <w:tcW w:w="2600" w:type="dxa"/>
          </w:tcPr>
          <w:p>
            <w:r>
              <w:rPr>
                <w:b/>
                <w:color w:val="071E3A"/>
              </w:rPr>
              <w:t>Résultat attendu</w:t>
            </w:r>
          </w:p>
        </w:tc>
      </w:tr>
      <w:tr>
        <w:tc>
          <w:tcPr>
            <w:tcW w:w="2600" w:type="dxa"/>
          </w:tcPr>
          <w:p>
            <w:r>
              <w:rPr/>
              <w:t>Demande complète</w:t>
            </w:r>
          </w:p>
        </w:tc>
        <w:tc>
          <w:tcPr>
            <w:tcW w:w="2600" w:type="dxa"/>
          </w:tcPr>
          <w:p>
            <w:r>
              <w:rPr/>
              <w:t>Lead qualifié, devis calculé par calculer_devis.</w:t>
            </w:r>
          </w:p>
        </w:tc>
      </w:tr>
      <w:tr>
        <w:tc>
          <w:tcPr>
            <w:tcW w:w="2600" w:type="dxa"/>
          </w:tcPr>
          <w:p>
            <w:r>
              <w:rPr/>
              <w:t>Demande incomplète</w:t>
            </w:r>
          </w:p>
        </w:tc>
        <w:tc>
          <w:tcPr>
            <w:tcW w:w="2600" w:type="dxa"/>
          </w:tcPr>
          <w:p>
            <w:r>
              <w:rPr/>
              <w:t>Statut INCOMPLETE et question ciblée.</w:t>
            </w:r>
          </w:p>
        </w:tc>
      </w:tr>
      <w:tr>
        <w:tc>
          <w:tcPr>
            <w:tcW w:w="2600" w:type="dxa"/>
          </w:tcPr>
          <w:p>
            <w:r>
              <w:rPr/>
              <w:t>Prompt injection</w:t>
            </w:r>
          </w:p>
        </w:tc>
        <w:tc>
          <w:tcPr>
            <w:tcW w:w="2600" w:type="dxa"/>
          </w:tcPr>
          <w:p>
            <w:r>
              <w:rPr/>
              <w:t>Refus contrôlé, aucun prix.</w:t>
            </w:r>
          </w:p>
        </w:tc>
      </w:tr>
      <w:tr>
        <w:tc>
          <w:tcPr>
            <w:tcW w:w="2600" w:type="dxa"/>
          </w:tcPr>
          <w:p>
            <w:r>
              <w:rPr/>
              <w:t>Hors capacité</w:t>
            </w:r>
          </w:p>
        </w:tc>
        <w:tc>
          <w:tcPr>
            <w:tcW w:w="2600" w:type="dxa"/>
          </w:tcPr>
          <w:p>
            <w:r>
              <w:rPr/>
              <w:t>HUMAN_REVIEW, aucun devis automatique.</w:t>
            </w:r>
          </w:p>
        </w:tc>
      </w:tr>
      <w:tr>
        <w:tc>
          <w:tcPr>
            <w:tcW w:w="2600" w:type="dxa"/>
          </w:tcPr>
          <w:p>
            <w:r>
              <w:rPr/>
              <w:t>Route inconnue</w:t>
            </w:r>
          </w:p>
        </w:tc>
        <w:tc>
          <w:tcPr>
            <w:tcW w:w="2600" w:type="dxa"/>
          </w:tcPr>
          <w:p>
            <w:r>
              <w:rPr/>
              <w:t>HUMAN_REVIEW.</w:t>
            </w:r>
          </w:p>
        </w:tc>
      </w:tr>
      <w:tr>
        <w:tc>
          <w:tcPr>
            <w:tcW w:w="2600" w:type="dxa"/>
          </w:tcPr>
          <w:p>
            <w:r>
              <w:rPr/>
              <w:t>Relance</w:t>
            </w:r>
          </w:p>
        </w:tc>
        <w:tc>
          <w:tcPr>
            <w:tcW w:w="2600" w:type="dxa"/>
          </w:tcPr>
          <w:p>
            <w:r>
              <w:rPr/>
              <w:t>Followup planifié et visible.</w:t>
            </w:r>
          </w:p>
        </w:tc>
      </w:tr>
    </w:tbl>
    <w:p>
      <w:r>
        <w:br w:type="page"/>
      </w:r>
    </w:p>
    <w:p>
      <w:pPr>
        <w:pStyle w:val="Heading1"/>
      </w:pPr>
      <w:r>
        <w:t>10. Sécurité, RGPD et garde-fous IA</w:t>
      </w:r>
    </w:p>
    <w:p>
      <w:pPr>
        <w:pStyle w:val="Heading2"/>
      </w:pPr>
      <w:r>
        <w:t>10.1 Données personnelles</w:t>
      </w:r>
    </w:p>
    <w:p>
      <w:pPr>
        <w:pStyle w:val="ListParagraph"/>
      </w:pPr>
      <w:r>
        <w:t>• Ne pas utiliser de données personnelles réelles dans les tests ou démonstrations.</w:t>
      </w:r>
    </w:p>
    <w:p>
      <w:pPr>
        <w:pStyle w:val="ListParagraph"/>
      </w:pPr>
      <w:r>
        <w:t>• Ne collecter que les données nécessaires à l'établissement du devis.</w:t>
      </w:r>
    </w:p>
    <w:p>
      <w:pPr>
        <w:pStyle w:val="ListParagraph"/>
      </w:pPr>
      <w:r>
        <w:t>• Ne pas stocker inutilement les conversations utilisateur.</w:t>
      </w:r>
    </w:p>
    <w:p>
      <w:pPr>
        <w:pStyle w:val="ListParagraph"/>
      </w:pPr>
      <w:r>
        <w:t>• Les logs doivent éviter les données personnelles en clair.</w:t>
      </w:r>
    </w:p>
    <w:p>
      <w:pPr>
        <w:pStyle w:val="Heading2"/>
      </w:pPr>
      <w:r>
        <w:t>10.2 Secrets et clés API</w:t>
      </w:r>
    </w:p>
    <w:p>
      <w:pPr>
        <w:pStyle w:val="ListParagraph"/>
      </w:pPr>
      <w:r>
        <w:t>• Ne jamais exposer les clés API dans le front ou dans Git.</w:t>
      </w:r>
    </w:p>
    <w:p>
      <w:pPr>
        <w:pStyle w:val="ListParagraph"/>
      </w:pPr>
      <w:r>
        <w:t>• Utiliser .env.local, Vercel env, Supabase, n8n ou un gestionnaire de secrets.</w:t>
      </w:r>
    </w:p>
    <w:p>
      <w:pPr>
        <w:pStyle w:val="Heading2"/>
      </w:pPr>
      <w:r>
        <w:t>10.3 Garde-fous IA</w:t>
      </w:r>
    </w:p>
    <w:p>
      <w:pPr>
        <w:pStyle w:val="ListParagraph"/>
      </w:pPr>
      <w:r>
        <w:t>• Le prix et la distance ne doivent jamais être calculés par le LLM.</w:t>
      </w:r>
    </w:p>
    <w:p>
      <w:pPr>
        <w:pStyle w:val="ListParagraph"/>
      </w:pPr>
      <w:r>
        <w:t>• Toute prompt injection doit être ignorée ou transmise en validation humaine.</w:t>
      </w:r>
    </w:p>
    <w:p>
      <w:pPr>
        <w:pStyle w:val="ListParagraph"/>
      </w:pPr>
      <w:r>
        <w:t>• Les cas complexes, urgents ou incohérents doivent passer en HUMAN_REVIEW.</w:t>
      </w:r>
    </w:p>
    <w:p>
      <w:r>
        <w:br w:type="page"/>
      </w:r>
    </w:p>
    <w:p>
      <w:pPr>
        <w:pStyle w:val="Heading1"/>
      </w:pPr>
      <w:r>
        <w:t>11. Backlog priorisé</w:t>
      </w:r>
    </w:p>
    <w:tbl>
      <w:tblPr>
        <w:tblStyle w:val="TableGrid"/>
        <w:tblW w:w="0" w:type="auto"/>
        <w:tblBorders>
          <w:top w:val="single" w:sz="4" w:color="B7C9D8"/>
          <w:left w:val="single" w:sz="4" w:color="B7C9D8"/>
          <w:bottom w:val="single" w:sz="4" w:color="B7C9D8"/>
          <w:right w:val="single" w:sz="4" w:color="B7C9D8"/>
          <w:insideH w:val="single" w:sz="4" w:color="B7C9D8"/>
          <w:insideV w:val="single" w:sz="4" w:color="B7C9D8"/>
        </w:tblBorders>
      </w:tblPr>
      <w:tblGrid>
        <w:gridCol w:w="2600"/>
        <w:gridCol w:w="2600"/>
        <w:gridCol w:w="2600"/>
        <w:gridCol w:w="2600"/>
        <w:gridCol w:w="2600"/>
        <w:gridCol w:w="2600"/>
      </w:tblGrid>
      <w:tr>
        <w:tc>
          <w:tcPr>
            <w:shd w:fill="EAF2F8"/>
            <w:tcW w:w="2600" w:type="dxa"/>
          </w:tcPr>
          <w:p>
            <w:r>
              <w:rPr>
                <w:b/>
                <w:color w:val="071E3A"/>
              </w:rPr>
              <w:t>Priorité</w:t>
            </w:r>
          </w:p>
        </w:tc>
        <w:tc>
          <w:tcPr>
            <w:shd w:fill="EAF2F8"/>
            <w:tcW w:w="2600" w:type="dxa"/>
          </w:tcPr>
          <w:p>
            <w:r>
              <w:rPr>
                <w:b/>
                <w:color w:val="071E3A"/>
              </w:rPr>
              <w:t>Sujet</w:t>
            </w:r>
          </w:p>
        </w:tc>
        <w:tc>
          <w:tcPr>
            <w:shd w:fill="EAF2F8"/>
            <w:tcW w:w="2600" w:type="dxa"/>
          </w:tcPr>
          <w:p>
            <w:r>
              <w:rPr>
                <w:b/>
                <w:color w:val="071E3A"/>
              </w:rPr>
              <w:t>Objectif métier</w:t>
            </w:r>
          </w:p>
        </w:tc>
        <w:tc>
          <w:tcPr>
            <w:shd w:fill="EAF2F8"/>
            <w:tcW w:w="2600" w:type="dxa"/>
          </w:tcPr>
          <w:p>
            <w:r>
              <w:rPr>
                <w:b/>
                <w:color w:val="071E3A"/>
              </w:rPr>
              <w:t>Complexité</w:t>
            </w:r>
          </w:p>
        </w:tc>
        <w:tc>
          <w:tcPr>
            <w:shd w:fill="EAF2F8"/>
            <w:tcW w:w="2600" w:type="dxa"/>
          </w:tcPr>
          <w:p>
            <w:r>
              <w:rPr>
                <w:b/>
                <w:color w:val="071E3A"/>
              </w:rPr>
              <w:t>Impact</w:t>
            </w:r>
          </w:p>
        </w:tc>
        <w:tc>
          <w:tcPr>
            <w:shd w:fill="EAF2F8"/>
            <w:tcW w:w="2600" w:type="dxa"/>
          </w:tcPr>
          <w:p>
            <w:r>
              <w:rPr>
                <w:b/>
                <w:color w:val="071E3A"/>
              </w:rPr>
              <w:t>Version</w:t>
            </w:r>
          </w:p>
        </w:tc>
      </w:tr>
      <w:tr>
        <w:tc>
          <w:tcPr>
            <w:tcW w:w="2600" w:type="dxa"/>
          </w:tcPr>
          <w:p>
            <w:r>
              <w:rPr/>
              <w:t>P1</w:t>
            </w:r>
          </w:p>
        </w:tc>
        <w:tc>
          <w:tcPr>
            <w:tcW w:w="2600" w:type="dxa"/>
          </w:tcPr>
          <w:p>
            <w:r>
              <w:rPr/>
              <w:t>Aligner statuts code/contrat</w:t>
            </w:r>
          </w:p>
        </w:tc>
        <w:tc>
          <w:tcPr>
            <w:tcW w:w="2600" w:type="dxa"/>
          </w:tcPr>
          <w:p>
            <w:r>
              <w:rPr/>
              <w:t>Éviter ambiguïtés pipeline.</w:t>
            </w:r>
          </w:p>
        </w:tc>
        <w:tc>
          <w:tcPr>
            <w:tcW w:w="2600" w:type="dxa"/>
          </w:tcPr>
          <w:p>
            <w:r>
              <w:rPr/>
              <w:t>Moyenne</w:t>
            </w:r>
          </w:p>
        </w:tc>
        <w:tc>
          <w:tcPr>
            <w:tcW w:w="2600" w:type="dxa"/>
          </w:tcPr>
          <w:p>
            <w:r>
              <w:rPr/>
              <w:t>Fort</w:t>
            </w:r>
          </w:p>
        </w:tc>
        <w:tc>
          <w:tcPr>
            <w:tcW w:w="2600" w:type="dxa"/>
          </w:tcPr>
          <w:p>
            <w:r>
              <w:rPr/>
              <w:t>V1.1</w:t>
            </w:r>
          </w:p>
        </w:tc>
      </w:tr>
      <w:tr>
        <w:tc>
          <w:tcPr>
            <w:tcW w:w="2600" w:type="dxa"/>
          </w:tcPr>
          <w:p>
            <w:r>
              <w:rPr/>
              <w:t>P1</w:t>
            </w:r>
          </w:p>
        </w:tc>
        <w:tc>
          <w:tcPr>
            <w:tcW w:w="2600" w:type="dxa"/>
          </w:tcPr>
          <w:p>
            <w:r>
              <w:rPr/>
              <w:t>Stabiliser reconnaissance villes</w:t>
            </w:r>
          </w:p>
        </w:tc>
        <w:tc>
          <w:tcPr>
            <w:tcW w:w="2600" w:type="dxa"/>
          </w:tcPr>
          <w:p>
            <w:r>
              <w:rPr/>
              <w:t>Réduire les dossiers bloqués.</w:t>
            </w:r>
          </w:p>
        </w:tc>
        <w:tc>
          <w:tcPr>
            <w:tcW w:w="2600" w:type="dxa"/>
          </w:tcPr>
          <w:p>
            <w:r>
              <w:rPr/>
              <w:t>Moyenne</w:t>
            </w:r>
          </w:p>
        </w:tc>
        <w:tc>
          <w:tcPr>
            <w:tcW w:w="2600" w:type="dxa"/>
          </w:tcPr>
          <w:p>
            <w:r>
              <w:rPr/>
              <w:t>Fort</w:t>
            </w:r>
          </w:p>
        </w:tc>
        <w:tc>
          <w:tcPr>
            <w:tcW w:w="2600" w:type="dxa"/>
          </w:tcPr>
          <w:p>
            <w:r>
              <w:rPr/>
              <w:t>V1.1</w:t>
            </w:r>
          </w:p>
        </w:tc>
      </w:tr>
      <w:tr>
        <w:tc>
          <w:tcPr>
            <w:tcW w:w="2600" w:type="dxa"/>
          </w:tcPr>
          <w:p>
            <w:r>
              <w:rPr/>
              <w:t>P1</w:t>
            </w:r>
          </w:p>
        </w:tc>
        <w:tc>
          <w:tcPr>
            <w:tcW w:w="2600" w:type="dxa"/>
          </w:tcPr>
          <w:p>
            <w:r>
              <w:rPr/>
              <w:t>Vérifier prod Vercel env vars</w:t>
            </w:r>
          </w:p>
        </w:tc>
        <w:tc>
          <w:tcPr>
            <w:tcW w:w="2600" w:type="dxa"/>
          </w:tcPr>
          <w:p>
            <w:r>
              <w:rPr/>
              <w:t>Prouver Supabase, IA, n8n et distance.</w:t>
            </w:r>
          </w:p>
        </w:tc>
        <w:tc>
          <w:tcPr>
            <w:tcW w:w="2600" w:type="dxa"/>
          </w:tcPr>
          <w:p>
            <w:r>
              <w:rPr/>
              <w:t>Faible/Moyenne</w:t>
            </w:r>
          </w:p>
        </w:tc>
        <w:tc>
          <w:tcPr>
            <w:tcW w:w="2600" w:type="dxa"/>
          </w:tcPr>
          <w:p>
            <w:r>
              <w:rPr/>
              <w:t>Fort</w:t>
            </w:r>
          </w:p>
        </w:tc>
        <w:tc>
          <w:tcPr>
            <w:tcW w:w="2600" w:type="dxa"/>
          </w:tcPr>
          <w:p>
            <w:r>
              <w:rPr/>
              <w:t>V1.1</w:t>
            </w:r>
          </w:p>
        </w:tc>
      </w:tr>
      <w:tr>
        <w:tc>
          <w:tcPr>
            <w:tcW w:w="2600" w:type="dxa"/>
          </w:tcPr>
          <w:p>
            <w:r>
              <w:rPr/>
              <w:t>P1</w:t>
            </w:r>
          </w:p>
        </w:tc>
        <w:tc>
          <w:tcPr>
            <w:tcW w:w="2600" w:type="dxa"/>
          </w:tcPr>
          <w:p>
            <w:r>
              <w:rPr/>
              <w:t>Finaliser preuve n8n prod</w:t>
            </w:r>
          </w:p>
        </w:tc>
        <w:tc>
          <w:tcPr>
            <w:tcW w:w="2600" w:type="dxa"/>
          </w:tcPr>
          <w:p>
            <w:r>
              <w:rPr/>
              <w:t>Garantir emails et relances réels ou simulation assumée.</w:t>
            </w:r>
          </w:p>
        </w:tc>
        <w:tc>
          <w:tcPr>
            <w:tcW w:w="2600" w:type="dxa"/>
          </w:tcPr>
          <w:p>
            <w:r>
              <w:rPr/>
              <w:t>Moyenne</w:t>
            </w:r>
          </w:p>
        </w:tc>
        <w:tc>
          <w:tcPr>
            <w:tcW w:w="2600" w:type="dxa"/>
          </w:tcPr>
          <w:p>
            <w:r>
              <w:rPr/>
              <w:t>Fort</w:t>
            </w:r>
          </w:p>
        </w:tc>
        <w:tc>
          <w:tcPr>
            <w:tcW w:w="2600" w:type="dxa"/>
          </w:tcPr>
          <w:p>
            <w:r>
              <w:rPr/>
              <w:t>V1.1</w:t>
            </w:r>
          </w:p>
        </w:tc>
      </w:tr>
      <w:tr>
        <w:tc>
          <w:tcPr>
            <w:tcW w:w="2600" w:type="dxa"/>
          </w:tcPr>
          <w:p>
            <w:r>
              <w:rPr/>
              <w:t>P2</w:t>
            </w:r>
          </w:p>
        </w:tc>
        <w:tc>
          <w:tcPr>
            <w:tcW w:w="2600" w:type="dxa"/>
          </w:tcPr>
          <w:p>
            <w:r>
              <w:rPr/>
              <w:t>Tarification multi-destination</w:t>
            </w:r>
          </w:p>
        </w:tc>
        <w:tc>
          <w:tcPr>
            <w:tcW w:w="2600" w:type="dxa"/>
          </w:tcPr>
          <w:p>
            <w:r>
              <w:rPr/>
              <w:t>Automatiser les escales simples.</w:t>
            </w:r>
          </w:p>
        </w:tc>
        <w:tc>
          <w:tcPr>
            <w:tcW w:w="2600" w:type="dxa"/>
          </w:tcPr>
          <w:p>
            <w:r>
              <w:rPr/>
              <w:t>Élevée</w:t>
            </w:r>
          </w:p>
        </w:tc>
        <w:tc>
          <w:tcPr>
            <w:tcW w:w="2600" w:type="dxa"/>
          </w:tcPr>
          <w:p>
            <w:r>
              <w:rPr/>
              <w:t>Moyen/Fort</w:t>
            </w:r>
          </w:p>
        </w:tc>
        <w:tc>
          <w:tcPr>
            <w:tcW w:w="2600" w:type="dxa"/>
          </w:tcPr>
          <w:p>
            <w:r>
              <w:rPr/>
              <w:t>V1.2</w:t>
            </w:r>
          </w:p>
        </w:tc>
      </w:tr>
      <w:tr>
        <w:tc>
          <w:tcPr>
            <w:tcW w:w="2600" w:type="dxa"/>
          </w:tcPr>
          <w:p>
            <w:r>
              <w:rPr/>
              <w:t>P2</w:t>
            </w:r>
          </w:p>
        </w:tc>
        <w:tc>
          <w:tcPr>
            <w:tcW w:w="2600" w:type="dxa"/>
          </w:tcPr>
          <w:p>
            <w:r>
              <w:rPr/>
              <w:t>PDF devis commercial avancé</w:t>
            </w:r>
          </w:p>
        </w:tc>
        <w:tc>
          <w:tcPr>
            <w:tcW w:w="2600" w:type="dxa"/>
          </w:tcPr>
          <w:p>
            <w:r>
              <w:rPr/>
              <w:t>Rendre la proposition plus professionnelle.</w:t>
            </w:r>
          </w:p>
        </w:tc>
        <w:tc>
          <w:tcPr>
            <w:tcW w:w="2600" w:type="dxa"/>
          </w:tcPr>
          <w:p>
            <w:r>
              <w:rPr/>
              <w:t>Moyenne</w:t>
            </w:r>
          </w:p>
        </w:tc>
        <w:tc>
          <w:tcPr>
            <w:tcW w:w="2600" w:type="dxa"/>
          </w:tcPr>
          <w:p>
            <w:r>
              <w:rPr/>
              <w:t>Moyen</w:t>
            </w:r>
          </w:p>
        </w:tc>
        <w:tc>
          <w:tcPr>
            <w:tcW w:w="2600" w:type="dxa"/>
          </w:tcPr>
          <w:p>
            <w:r>
              <w:rPr/>
              <w:t>V1.2</w:t>
            </w:r>
          </w:p>
        </w:tc>
      </w:tr>
      <w:tr>
        <w:tc>
          <w:tcPr>
            <w:tcW w:w="2600" w:type="dxa"/>
          </w:tcPr>
          <w:p>
            <w:r>
              <w:rPr/>
              <w:t>P2</w:t>
            </w:r>
          </w:p>
        </w:tc>
        <w:tc>
          <w:tcPr>
            <w:tcW w:w="2600" w:type="dxa"/>
          </w:tcPr>
          <w:p>
            <w:r>
              <w:rPr/>
              <w:t>Historique lead enrichi</w:t>
            </w:r>
          </w:p>
        </w:tc>
        <w:tc>
          <w:tcPr>
            <w:tcW w:w="2600" w:type="dxa"/>
          </w:tcPr>
          <w:p>
            <w:r>
              <w:rPr/>
              <w:t>Mieux expliquer chaque dossier aux commerciaux.</w:t>
            </w:r>
          </w:p>
        </w:tc>
        <w:tc>
          <w:tcPr>
            <w:tcW w:w="2600" w:type="dxa"/>
          </w:tcPr>
          <w:p>
            <w:r>
              <w:rPr/>
              <w:t>Moyenne</w:t>
            </w:r>
          </w:p>
        </w:tc>
        <w:tc>
          <w:tcPr>
            <w:tcW w:w="2600" w:type="dxa"/>
          </w:tcPr>
          <w:p>
            <w:r>
              <w:rPr/>
              <w:t>Moyen</w:t>
            </w:r>
          </w:p>
        </w:tc>
        <w:tc>
          <w:tcPr>
            <w:tcW w:w="2600" w:type="dxa"/>
          </w:tcPr>
          <w:p>
            <w:r>
              <w:rPr/>
              <w:t>V1.2</w:t>
            </w:r>
          </w:p>
        </w:tc>
      </w:tr>
      <w:tr>
        <w:tc>
          <w:tcPr>
            <w:tcW w:w="2600" w:type="dxa"/>
          </w:tcPr>
          <w:p>
            <w:r>
              <w:rPr/>
              <w:t>P3</w:t>
            </w:r>
          </w:p>
        </w:tc>
        <w:tc>
          <w:tcPr>
            <w:tcW w:w="2600" w:type="dxa"/>
          </w:tcPr>
          <w:p>
            <w:r>
              <w:rPr/>
              <w:t>Connexion partenaires</w:t>
            </w:r>
          </w:p>
        </w:tc>
        <w:tc>
          <w:tcPr>
            <w:tcW w:w="2600" w:type="dxa"/>
          </w:tcPr>
          <w:p>
            <w:r>
              <w:rPr/>
              <w:t>Préparer disponibilité réelle.</w:t>
            </w:r>
          </w:p>
        </w:tc>
        <w:tc>
          <w:tcPr>
            <w:tcW w:w="2600" w:type="dxa"/>
          </w:tcPr>
          <w:p>
            <w:r>
              <w:rPr/>
              <w:t>Élevée</w:t>
            </w:r>
          </w:p>
        </w:tc>
        <w:tc>
          <w:tcPr>
            <w:tcW w:w="2600" w:type="dxa"/>
          </w:tcPr>
          <w:p>
            <w:r>
              <w:rPr/>
              <w:t>Fort</w:t>
            </w:r>
          </w:p>
        </w:tc>
        <w:tc>
          <w:tcPr>
            <w:tcW w:w="2600" w:type="dxa"/>
          </w:tcPr>
          <w:p>
            <w:r>
              <w:rPr/>
              <w:t>V2</w:t>
            </w:r>
          </w:p>
        </w:tc>
      </w:tr>
      <w:tr>
        <w:tc>
          <w:tcPr>
            <w:tcW w:w="2600" w:type="dxa"/>
          </w:tcPr>
          <w:p>
            <w:r>
              <w:rPr/>
              <w:t>P3</w:t>
            </w:r>
          </w:p>
        </w:tc>
        <w:tc>
          <w:tcPr>
            <w:tcW w:w="2600" w:type="dxa"/>
          </w:tcPr>
          <w:p>
            <w:r>
              <w:rPr/>
              <w:t>Signature/acompte</w:t>
            </w:r>
          </w:p>
        </w:tc>
        <w:tc>
          <w:tcPr>
            <w:tcW w:w="2600" w:type="dxa"/>
          </w:tcPr>
          <w:p>
            <w:r>
              <w:rPr/>
              <w:t>Passer du devis à la conversion finale.</w:t>
            </w:r>
          </w:p>
        </w:tc>
        <w:tc>
          <w:tcPr>
            <w:tcW w:w="2600" w:type="dxa"/>
          </w:tcPr>
          <w:p>
            <w:r>
              <w:rPr/>
              <w:t>Élevée</w:t>
            </w:r>
          </w:p>
        </w:tc>
        <w:tc>
          <w:tcPr>
            <w:tcW w:w="2600" w:type="dxa"/>
          </w:tcPr>
          <w:p>
            <w:r>
              <w:rPr/>
              <w:t>Fort</w:t>
            </w:r>
          </w:p>
        </w:tc>
        <w:tc>
          <w:tcPr>
            <w:tcW w:w="2600" w:type="dxa"/>
          </w:tcPr>
          <w:p>
            <w:r>
              <w:rPr/>
              <w:t>V2</w:t>
            </w:r>
          </w:p>
        </w:tc>
      </w:tr>
      <w:tr>
        <w:tc>
          <w:tcPr>
            <w:tcW w:w="2600" w:type="dxa"/>
          </w:tcPr>
          <w:p>
            <w:r>
              <w:rPr/>
              <w:t>P3</w:t>
            </w:r>
          </w:p>
        </w:tc>
        <w:tc>
          <w:tcPr>
            <w:tcW w:w="2600" w:type="dxa"/>
          </w:tcPr>
          <w:p>
            <w:r>
              <w:rPr/>
              <w:t>Canaux SMS/WhatsApp</w:t>
            </w:r>
          </w:p>
        </w:tc>
        <w:tc>
          <w:tcPr>
            <w:tcW w:w="2600" w:type="dxa"/>
          </w:tcPr>
          <w:p>
            <w:r>
              <w:rPr/>
              <w:t>Améliorer réponse aux relances.</w:t>
            </w:r>
          </w:p>
        </w:tc>
        <w:tc>
          <w:tcPr>
            <w:tcW w:w="2600" w:type="dxa"/>
          </w:tcPr>
          <w:p>
            <w:r>
              <w:rPr/>
              <w:t>Moyenne</w:t>
            </w:r>
          </w:p>
        </w:tc>
        <w:tc>
          <w:tcPr>
            <w:tcW w:w="2600" w:type="dxa"/>
          </w:tcPr>
          <w:p>
            <w:r>
              <w:rPr/>
              <w:t>Moyen</w:t>
            </w:r>
          </w:p>
        </w:tc>
        <w:tc>
          <w:tcPr>
            <w:tcW w:w="2600" w:type="dxa"/>
          </w:tcPr>
          <w:p>
            <w:r>
              <w:rPr/>
              <w:t>V2</w:t>
            </w:r>
          </w:p>
        </w:tc>
      </w:tr>
    </w:tbl>
    <w:p>
      <w:r>
        <w:br w:type="page"/>
      </w:r>
    </w:p>
    <w:p>
      <w:pPr>
        <w:pStyle w:val="Heading1"/>
      </w:pPr>
      <w:r>
        <w:t>12. Annexes</w:t>
      </w:r>
    </w:p>
    <w:p>
      <w:pPr>
        <w:pStyle w:val="ListParagraph"/>
      </w:pPr>
      <w:r>
        <w:t>• Production : https://neotravel-epitech.vercel.app</w:t>
      </w:r>
    </w:p>
    <w:p>
      <w:pPr>
        <w:pStyle w:val="ListParagraph"/>
      </w:pPr>
      <w:r>
        <w:t>• Dépôt Claudio : https://github.com/Cloud-io09/neotravel-epitech.git</w:t>
      </w:r>
    </w:p>
    <w:p>
      <w:pPr>
        <w:pStyle w:val="ListParagraph"/>
      </w:pPr>
      <w:r>
        <w:t>• Branche documentée : last_modif</w:t>
      </w:r>
    </w:p>
    <w:p>
      <w:pPr>
        <w:pStyle w:val="ListParagraph"/>
      </w:pPr>
      <w:r>
        <w:t>• Fichiers clés : README.md, docs/requirements.md, docs/contrat-technique.md, docs/golden-set.md, docs/n8n/README.md.</w:t>
      </w:r>
    </w:p>
    <w:p>
      <w:pPr>
        <w:pStyle w:val="ListParagraph"/>
      </w:pPr>
      <w:r>
        <w:t>• Routes clés : /client/demande, /dashboard, /dashboard/kpis, /dashboard/recherche, /dashboard/connexions.</w:t>
      </w:r>
    </w:p>
    <w:p>
      <w:pPr>
        <w:pStyle w:val="ListParagraph"/>
      </w:pPr>
      <w:r>
        <w:t>• Commit de documentation : branche last_modif uniquement, main non modifié.</w:t>
      </w:r>
    </w:p>
    <w:sectPr>
      <w:pgSz w:w="11906" w:h="16838"/>
      <w:pgMar w:top="1134" w:right="1134" w:bottom="1134" w:left="1134" w:header="708" w:footer="708" w:gutter="0"/>
    </w:sectPr>
  </w:body>
</w:document>
</file>

<file path=word/styles.xml><?xml version="1.0" encoding="utf-8"?>
<w:styles xmlns:w="http://schemas.openxmlformats.org/wordprocessingml/2006/main">
  <w:style w:type="paragraph" w:default="1" w:styleId="Normal">
    <w:name w:val="Normal"/>
    <w:qFormat/>
    <w:rPr>
      <w:rFonts w:ascii="Aptos" w:hAnsi="Aptos"/>
      <w:sz w:val="22"/>
    </w:rPr>
    <w:pPr>
      <w:spacing w:after="120"/>
    </w:pPr>
  </w:style>
  <w:style w:type="paragraph" w:styleId="Title">
    <w:name w:val="Title"/>
    <w:basedOn w:val="Normal"/>
    <w:qFormat/>
    <w:rPr>
      <w:b/>
      <w:color w:val="071E3A"/>
      <w:sz w:val="46"/>
    </w:rPr>
    <w:pPr>
      <w:spacing w:after="220"/>
    </w:pPr>
  </w:style>
  <w:style w:type="paragraph" w:styleId="Subtitle">
    <w:name w:val="Subtitle"/>
    <w:basedOn w:val="Normal"/>
    <w:qFormat/>
    <w:rPr>
      <w:color w:val="C8871A"/>
      <w:sz w:val="30"/>
    </w:rPr>
    <w:pPr>
      <w:spacing w:after="320"/>
    </w:pPr>
  </w:style>
  <w:style w:type="paragraph" w:styleId="Heading1">
    <w:name w:val="heading 1"/>
    <w:basedOn w:val="Normal"/>
    <w:qFormat/>
    <w:rPr>
      <w:b/>
      <w:color w:val="071E3A"/>
      <w:sz w:val="30"/>
    </w:rPr>
    <w:pPr>
      <w:spacing w:before="320" w:after="140"/>
    </w:pPr>
  </w:style>
  <w:style w:type="paragraph" w:styleId="Heading2">
    <w:name w:val="heading 2"/>
    <w:basedOn w:val="Normal"/>
    <w:qFormat/>
    <w:rPr>
      <w:b/>
      <w:color w:val="1A4B7A"/>
      <w:sz w:val="25"/>
    </w:rPr>
    <w:pPr>
      <w:spacing w:before="220" w:after="100"/>
    </w:pPr>
  </w:style>
  <w:style w:type="paragraph" w:styleId="ListParagraph">
    <w:name w:val="List Paragraph"/>
    <w:basedOn w:val="Normal"/>
    <w:pPr>
      <w:ind w:left="360"/>
      <w:spacing w:after="80"/>
    </w:pPr>
  </w:style>
  <w:style w:type="paragraph" w:styleId="TocLine">
    <w:name w:val="TOC Line"/>
    <w:basedOn w:val="Normal"/>
    <w:rPr>
      <w:color w:val="0B2A4A"/>
      <w:sz w:val="23"/>
    </w:rPr>
    <w:pPr>
      <w:spacing w:after="90"/>
      <w:ind w:left="180"/>
    </w:pPr>
  </w:style>
  <w:style w:type="table" w:styleId="TableGrid">
    <w:name w:val="Table Grid"/>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Codex OpenXML generator</Application>
</Properties>
</file>

<file path=docProps/core.xml><?xml version="1.0" encoding="utf-8"?>
<cp:coreProperties xmlns:cp="http://schemas.openxmlformats.org/package/2006/metadata/core-properties" xmlns:dc="http://purl.org/dc/elements/1.1/">
  <dc:title>NeoTravel - Documentation de passation</dc:title>
  <dc:creator>Codex</dc:creator>
</cp:coreProperties>
</file>