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183E6B"/>
          <w:sz w:val="40"/>
        </w:rPr>
        <w:t>PRISM Manual-Only Acceptance Test Plan</w:t>
      </w:r>
    </w:p>
    <w:p>
      <w:pPr>
        <w:jc w:val="center"/>
      </w:pPr>
      <w:r>
        <w:rPr>
          <w:rFonts w:ascii="Arial" w:hAnsi="Arial"/>
          <w:b w:val="0"/>
          <w:color w:val="414141"/>
          <w:sz w:val="20"/>
        </w:rPr>
        <w:t>Human/operator/external-environment acceptance complement to the technical regression and independent repository review.</w:t>
      </w:r>
    </w:p>
    <w:p>
      <w:pPr>
        <w:pStyle w:val="Heading1"/>
      </w:pPr>
      <w:r>
        <w:rPr>
          <w:rFonts w:ascii="Arial" w:hAnsi="Arial"/>
          <w:b/>
          <w:color w:val="183E6B"/>
          <w:sz w:val="28"/>
        </w:rPr>
        <w:t>Document Control</w:t>
      </w:r>
    </w:p>
    <w:tbl>
      <w:tblPr>
        <w:tblStyle w:val="TableGrid"/>
        <w:tblW w:type="auto" w:w="0"/>
        <w:jc w:val="center"/>
        <w:tblLook w:firstColumn="1" w:firstRow="1" w:lastColumn="0" w:lastRow="0" w:noHBand="0" w:noVBand="1" w:val="04A0"/>
      </w:tblPr>
      <w:tblGrid>
        <w:gridCol w:w="5270"/>
        <w:gridCol w:w="5270"/>
      </w:tblGrid>
      <w:tr>
        <w:trPr>
          <w:cantSplit/>
        </w:trPr>
        <w:tc>
          <w:tcPr>
            <w:tcW w:type="dxa" w:w="5270"/>
            <w:shd w:fill="EAF0F7"/>
            <w:tcMar>
              <w:top w:w="70" w:type="dxa"/>
              <w:start w:w="80" w:type="dxa"/>
              <w:bottom w:w="70" w:type="dxa"/>
              <w:end w:w="80" w:type="dxa"/>
            </w:tcMar>
            <w:vAlign w:val="top"/>
          </w:tcPr>
          <w:p>
            <w:r>
              <w:rPr>
                <w:rFonts w:ascii="Arial" w:hAnsi="Arial"/>
                <w:b/>
                <w:color w:val="183E6B"/>
                <w:sz w:val="17"/>
              </w:rPr>
              <w:t>Project</w:t>
            </w:r>
          </w:p>
        </w:tc>
        <w:tc>
          <w:tcPr>
            <w:tcW w:type="dxa" w:w="5270"/>
            <w:tcMar>
              <w:top w:w="70" w:type="dxa"/>
              <w:start w:w="80" w:type="dxa"/>
              <w:bottom w:w="70" w:type="dxa"/>
              <w:end w:w="80" w:type="dxa"/>
            </w:tcMar>
            <w:vAlign w:val="top"/>
          </w:tcPr>
          <w:p>
            <w:r>
              <w:rPr>
                <w:rFonts w:ascii="Arial" w:hAnsi="Arial"/>
                <w:b w:val="0"/>
                <w:sz w:val="17"/>
              </w:rPr>
              <w:t>PRISM / rpms_system</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7"/>
              </w:rPr>
              <w:t>Code branch</w:t>
            </w:r>
          </w:p>
        </w:tc>
        <w:tc>
          <w:tcPr>
            <w:tcW w:type="dxa" w:w="5270"/>
            <w:tcMar>
              <w:top w:w="70" w:type="dxa"/>
              <w:start w:w="80" w:type="dxa"/>
              <w:bottom w:w="70" w:type="dxa"/>
              <w:end w:w="80" w:type="dxa"/>
            </w:tcMar>
            <w:vAlign w:val="top"/>
          </w:tcPr>
          <w:p>
            <w:r>
              <w:rPr>
                <w:rFonts w:ascii="Arial" w:hAnsi="Arial"/>
                <w:b w:val="0"/>
                <w:sz w:val="17"/>
              </w:rPr>
              <w:t>prism-v2-final-audit</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7"/>
              </w:rPr>
              <w:t>Code baseline commit</w:t>
            </w:r>
          </w:p>
        </w:tc>
        <w:tc>
          <w:tcPr>
            <w:tcW w:type="dxa" w:w="5270"/>
            <w:tcMar>
              <w:top w:w="70" w:type="dxa"/>
              <w:start w:w="80" w:type="dxa"/>
              <w:bottom w:w="70" w:type="dxa"/>
              <w:end w:w="80" w:type="dxa"/>
            </w:tcMar>
            <w:vAlign w:val="top"/>
          </w:tcPr>
          <w:p>
            <w:r>
              <w:rPr>
                <w:rFonts w:ascii="Arial" w:hAnsi="Arial"/>
                <w:b w:val="0"/>
                <w:sz w:val="17"/>
              </w:rPr>
              <w:t>ef6dc8d7fc02f4ac82927989c08cfcc8d7fcc232</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7"/>
              </w:rPr>
              <w:t>Schema version</w:t>
            </w:r>
          </w:p>
        </w:tc>
        <w:tc>
          <w:tcPr>
            <w:tcW w:type="dxa" w:w="5270"/>
            <w:tcMar>
              <w:top w:w="70" w:type="dxa"/>
              <w:start w:w="80" w:type="dxa"/>
              <w:bottom w:w="70" w:type="dxa"/>
              <w:end w:w="80" w:type="dxa"/>
            </w:tcMar>
            <w:vAlign w:val="top"/>
          </w:tcPr>
          <w:p>
            <w:r>
              <w:rPr>
                <w:rFonts w:ascii="Arial" w:hAnsi="Arial"/>
                <w:b w:val="0"/>
                <w:sz w:val="17"/>
              </w:rPr>
              <w:t>6</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7"/>
              </w:rPr>
              <w:t>MariaDB reference version</w:t>
            </w:r>
          </w:p>
        </w:tc>
        <w:tc>
          <w:tcPr>
            <w:tcW w:type="dxa" w:w="5270"/>
            <w:tcMar>
              <w:top w:w="70" w:type="dxa"/>
              <w:start w:w="80" w:type="dxa"/>
              <w:bottom w:w="70" w:type="dxa"/>
              <w:end w:w="80" w:type="dxa"/>
            </w:tcMar>
            <w:vAlign w:val="top"/>
          </w:tcPr>
          <w:p>
            <w:r>
              <w:rPr>
                <w:rFonts w:ascii="Arial" w:hAnsi="Arial"/>
                <w:b w:val="0"/>
                <w:sz w:val="17"/>
              </w:rPr>
              <w:t>10.4.32</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7"/>
              </w:rPr>
              <w:t>Revision date</w:t>
            </w:r>
          </w:p>
        </w:tc>
        <w:tc>
          <w:tcPr>
            <w:tcW w:type="dxa" w:w="5270"/>
            <w:tcMar>
              <w:top w:w="70" w:type="dxa"/>
              <w:start w:w="80" w:type="dxa"/>
              <w:bottom w:w="70" w:type="dxa"/>
              <w:end w:w="80" w:type="dxa"/>
            </w:tcMar>
            <w:vAlign w:val="top"/>
          </w:tcPr>
          <w:p>
            <w:r>
              <w:rPr>
                <w:rFonts w:ascii="Arial" w:hAnsi="Arial"/>
                <w:b w:val="0"/>
                <w:sz w:val="17"/>
              </w:rPr>
              <w:t>02 October 2026</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7"/>
              </w:rPr>
              <w:t>QA package commit</w:t>
            </w:r>
          </w:p>
        </w:tc>
        <w:tc>
          <w:tcPr>
            <w:tcW w:type="dxa" w:w="5270"/>
            <w:tcMar>
              <w:top w:w="70" w:type="dxa"/>
              <w:start w:w="80" w:type="dxa"/>
              <w:bottom w:w="70" w:type="dxa"/>
              <w:end w:w="80" w:type="dxa"/>
            </w:tcMar>
            <w:vAlign w:val="top"/>
          </w:tcPr>
          <w:p>
            <w:r>
              <w:rPr>
                <w:rFonts w:ascii="Arial" w:hAnsi="Arial"/>
                <w:b w:val="0"/>
                <w:sz w:val="17"/>
              </w:rPr>
              <w:t>Pending docs-only commit</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7"/>
              </w:rPr>
              <w:t>Baseline note</w:t>
            </w:r>
          </w:p>
        </w:tc>
        <w:tc>
          <w:tcPr>
            <w:tcW w:type="dxa" w:w="5270"/>
            <w:tcMar>
              <w:top w:w="70" w:type="dxa"/>
              <w:start w:w="80" w:type="dxa"/>
              <w:bottom w:w="70" w:type="dxa"/>
              <w:end w:w="80" w:type="dxa"/>
            </w:tcMar>
            <w:vAlign w:val="top"/>
          </w:tcPr>
          <w:p>
            <w:r>
              <w:rPr>
                <w:rFonts w:ascii="Arial" w:hAnsi="Arial"/>
                <w:b w:val="0"/>
                <w:sz w:val="17"/>
              </w:rPr>
              <w:t>The code baseline SHA above is the immutable application baseline. QA documents may be added later in a docs-only commit without changing application code.</w:t>
            </w:r>
          </w:p>
        </w:tc>
      </w:tr>
    </w:tbl>
    <w:p>
      <w:pPr>
        <w:pStyle w:val="Heading1"/>
      </w:pPr>
      <w:r>
        <w:rPr>
          <w:rFonts w:ascii="Arial" w:hAnsi="Arial"/>
          <w:b/>
          <w:color w:val="183E6B"/>
          <w:sz w:val="28"/>
        </w:rPr>
        <w:t>1. Scope Rule</w:t>
      </w:r>
    </w:p>
    <w:p>
      <w:r>
        <w:rPr>
          <w:rFonts w:ascii="Arial" w:hAnsi="Arial"/>
          <w:b w:val="0"/>
          <w:sz w:val="18"/>
        </w:rPr>
        <w:t>This document intentionally excludes repeatable technical checks that Astra can execute against the code, APIs, disposable databases, multi-session/concurrency harnesses, and browser automation. Those behaviors remain mandatory but are tracked in the Technical Test Traceability Matrix. Manual execution is reserved for real external delivery, real deployment/operator actions, or human judgment.</w:t>
      </w:r>
    </w:p>
    <w:tbl>
      <w:tblPr>
        <w:tblStyle w:val="TableGrid"/>
        <w:tblW w:type="auto" w:w="0"/>
        <w:tblLook w:firstColumn="1" w:firstRow="1" w:lastColumn="0" w:lastRow="0" w:noHBand="0" w:noVBand="1" w:val="04A0"/>
      </w:tblPr>
      <w:tblGrid>
        <w:gridCol w:w="10540"/>
      </w:tblGrid>
      <w:tr>
        <w:tc>
          <w:tcPr>
            <w:tcW w:type="dxa" w:w="10540"/>
            <w:shd w:fill="FFF4CE"/>
            <w:tcMar>
              <w:top w:w="110" w:type="dxa"/>
              <w:start w:w="130" w:type="dxa"/>
              <w:bottom w:w="110" w:type="dxa"/>
              <w:end w:w="130" w:type="dxa"/>
            </w:tcMar>
          </w:tcPr>
          <w:p>
            <w:r>
              <w:rPr>
                <w:rFonts w:ascii="Arial" w:hAnsi="Arial"/>
                <w:b/>
                <w:color w:val="784E00"/>
                <w:sz w:val="18"/>
              </w:rPr>
              <w:t xml:space="preserve">Not a replacement for technical verification. </w:t>
            </w:r>
            <w:r>
              <w:rPr>
                <w:rFonts w:ascii="Arial" w:hAnsi="Arial"/>
                <w:b w:val="0"/>
                <w:sz w:val="18"/>
              </w:rPr>
              <w:t>A release claim requires both the technical evidence layer and the applicable MAN cases. An original test case stays unverified until mapped evidence exists; “Astra could test it” is not a pass result.</w:t>
            </w:r>
          </w:p>
        </w:tc>
      </w:tr>
    </w:tbl>
    <w:p>
      <w:pPr>
        <w:pStyle w:val="Heading1"/>
      </w:pPr>
      <w:r>
        <w:rPr>
          <w:rFonts w:ascii="Arial" w:hAnsi="Arial"/>
          <w:b/>
          <w:color w:val="183E6B"/>
          <w:sz w:val="28"/>
        </w:rPr>
        <w:t>2. Evidence and Independence Model</w:t>
      </w:r>
    </w:p>
    <w:p>
      <w:pPr>
        <w:pStyle w:val="ListBullet"/>
        <w:spacing w:after="30"/>
      </w:pPr>
      <w:r>
        <w:rPr>
          <w:rFonts w:ascii="Arial" w:hAnsi="Arial"/>
          <w:b w:val="0"/>
          <w:sz w:val="18"/>
        </w:rPr>
        <w:t>Astra/Codex owns executable technical verification on the exact release candidate: test commands, assertion counts, disposable MariaDB runs, API/browser/concurrency evidence, defects and fixes.</w:t>
      </w:r>
    </w:p>
    <w:p>
      <w:pPr>
        <w:pStyle w:val="ListBullet"/>
        <w:spacing w:after="30"/>
      </w:pPr>
      <w:r>
        <w:rPr>
          <w:rFonts w:ascii="Arial" w:hAnsi="Arial"/>
          <w:b w:val="0"/>
          <w:sz w:val="18"/>
        </w:rPr>
        <w:t>Claude and Grok independently review the GitHub baseline as hostile reviewers. They challenge authorization, data integrity, workflow, migration and test-suite blind spots; source review alone does not turn runtime cases into Passed.</w:t>
      </w:r>
    </w:p>
    <w:p>
      <w:pPr>
        <w:pStyle w:val="ListBullet"/>
        <w:spacing w:after="30"/>
      </w:pPr>
      <w:r>
        <w:rPr>
          <w:rFonts w:ascii="Arial" w:hAnsi="Arial"/>
          <w:b w:val="0"/>
          <w:sz w:val="18"/>
        </w:rPr>
        <w:t>The human/team executes only the MAN cases below and records actual external or subjective outcomes.</w:t>
      </w:r>
    </w:p>
    <w:p>
      <w:pPr>
        <w:pStyle w:val="ListBullet"/>
        <w:spacing w:after="30"/>
      </w:pPr>
      <w:r>
        <w:rPr>
          <w:rFonts w:ascii="Arial" w:hAnsi="Arial"/>
          <w:b w:val="0"/>
          <w:sz w:val="18"/>
        </w:rPr>
        <w:t>Every one of the 164 original IDs must appear in the Technical Test Traceability Matrix with a named owner and evidence target. Any unresolved coverage gap blocks a complete verification claim.</w:t>
      </w:r>
    </w:p>
    <w:p>
      <w:pPr>
        <w:pStyle w:val="ListBullet"/>
        <w:spacing w:after="30"/>
      </w:pPr>
      <w:r>
        <w:rPr>
          <w:rFonts w:ascii="Arial" w:hAnsi="Arial"/>
          <w:b w:val="0"/>
          <w:sz w:val="18"/>
        </w:rPr>
        <w:t>High-risk authorization, data-preservation, formal-submission, document-locking/race, session-invalidation and migration-fail-closed cases require both executable Astra evidence and independent reviewer challenge.</w:t>
      </w:r>
    </w:p>
    <w:p>
      <w:pPr>
        <w:pStyle w:val="Heading1"/>
      </w:pPr>
      <w:r>
        <w:rPr>
          <w:rFonts w:ascii="Arial" w:hAnsi="Arial"/>
          <w:b/>
          <w:color w:val="183E6B"/>
          <w:sz w:val="28"/>
        </w:rPr>
        <w:t>3. Prior Manual Results Carried Forward</w:t>
      </w:r>
    </w:p>
    <w:p>
      <w:r>
        <w:rPr>
          <w:rFonts w:ascii="Arial" w:hAnsi="Arial"/>
          <w:b w:val="0"/>
          <w:sz w:val="18"/>
        </w:rPr>
        <w:t>Historical execution record: AUTH-001 through AUTH-017 and STU-001 through STU-004 were manually completed and reported Passed during the current testing cycle. These results do not need to be manually repeated solely because this plan is trimmed. The final technical audit must still re-cover their repeatable behavior on the exact release candidate SHA.</w:t>
      </w:r>
    </w:p>
    <w:p>
      <w:pPr>
        <w:pStyle w:val="Heading1"/>
      </w:pPr>
      <w:r>
        <w:rPr>
          <w:rFonts w:ascii="Arial" w:hAnsi="Arial"/>
          <w:b/>
          <w:color w:val="183E6B"/>
          <w:sz w:val="28"/>
        </w:rPr>
        <w:t>4. Manual-Only Case Index</w:t>
      </w:r>
    </w:p>
    <w:tbl>
      <w:tblPr>
        <w:tblStyle w:val="TableGrid"/>
        <w:tblW w:type="auto" w:w="0"/>
        <w:jc w:val="center"/>
        <w:tblLook w:firstColumn="1" w:firstRow="1" w:lastColumn="0" w:lastRow="0" w:noHBand="0" w:noVBand="1" w:val="04A0"/>
      </w:tblPr>
      <w:tblGrid>
        <w:gridCol w:w="2635"/>
        <w:gridCol w:w="2635"/>
        <w:gridCol w:w="2635"/>
        <w:gridCol w:w="2635"/>
      </w:tblGrid>
      <w:tr>
        <w:trPr>
          <w:tblHeader w:val="true"/>
        </w:trPr>
        <w:tc>
          <w:tcPr>
            <w:tcW w:type="dxa" w:w="2635"/>
            <w:shd w:fill="1F4E78"/>
          </w:tcPr>
          <w:p>
            <w:pPr>
              <w:jc w:val="center"/>
            </w:pPr>
            <w:r>
              <w:rPr>
                <w:rFonts w:ascii="Arial" w:hAnsi="Arial"/>
                <w:b/>
                <w:color w:val="FFFFFF"/>
                <w:sz w:val="16"/>
              </w:rPr>
              <w:t>ID</w:t>
            </w:r>
          </w:p>
        </w:tc>
        <w:tc>
          <w:tcPr>
            <w:tcW w:type="dxa" w:w="2635"/>
            <w:shd w:fill="1F4E78"/>
          </w:tcPr>
          <w:p>
            <w:pPr>
              <w:jc w:val="center"/>
            </w:pPr>
            <w:r>
              <w:rPr>
                <w:rFonts w:ascii="Arial" w:hAnsi="Arial"/>
                <w:b/>
                <w:color w:val="FFFFFF"/>
                <w:sz w:val="16"/>
              </w:rPr>
              <w:t>Manual-only check</w:t>
            </w:r>
          </w:p>
        </w:tc>
        <w:tc>
          <w:tcPr>
            <w:tcW w:type="dxa" w:w="2635"/>
            <w:shd w:fill="1F4E78"/>
          </w:tcPr>
          <w:p>
            <w:pPr>
              <w:jc w:val="center"/>
            </w:pPr>
            <w:r>
              <w:rPr>
                <w:rFonts w:ascii="Arial" w:hAnsi="Arial"/>
                <w:b/>
                <w:color w:val="FFFFFF"/>
                <w:sz w:val="16"/>
              </w:rPr>
              <w:t>Reason</w:t>
            </w:r>
          </w:p>
        </w:tc>
        <w:tc>
          <w:tcPr>
            <w:tcW w:type="dxa" w:w="2635"/>
            <w:shd w:fill="1F4E78"/>
          </w:tcPr>
          <w:p>
            <w:pPr>
              <w:jc w:val="center"/>
            </w:pPr>
            <w:r>
              <w:rPr>
                <w:rFonts w:ascii="Arial" w:hAnsi="Arial"/>
                <w:b/>
                <w:color w:val="FFFFFF"/>
                <w:sz w:val="16"/>
              </w:rPr>
              <w:t>Status</w:t>
            </w:r>
          </w:p>
        </w:tc>
      </w:tr>
      <w:tr>
        <w:trPr>
          <w:cantSplit/>
        </w:trPr>
        <w:tc>
          <w:tcPr>
            <w:tcW w:type="dxa" w:w="2635"/>
            <w:tcMar>
              <w:top w:w="70" w:type="dxa"/>
              <w:start w:w="80" w:type="dxa"/>
              <w:bottom w:w="70" w:type="dxa"/>
              <w:end w:w="80" w:type="dxa"/>
            </w:tcMar>
            <w:vAlign w:val="top"/>
          </w:tcPr>
          <w:p>
            <w:r>
              <w:rPr>
                <w:rFonts w:ascii="Arial" w:hAnsi="Arial"/>
                <w:b w:val="0"/>
                <w:sz w:val="16"/>
              </w:rPr>
              <w:t>MAN-001</w:t>
            </w:r>
          </w:p>
        </w:tc>
        <w:tc>
          <w:tcPr>
            <w:tcW w:type="dxa" w:w="2635"/>
            <w:tcMar>
              <w:top w:w="70" w:type="dxa"/>
              <w:start w:w="80" w:type="dxa"/>
              <w:bottom w:w="70" w:type="dxa"/>
              <w:end w:w="80" w:type="dxa"/>
            </w:tcMar>
            <w:vAlign w:val="top"/>
          </w:tcPr>
          <w:p>
            <w:r>
              <w:rPr>
                <w:rFonts w:ascii="Arial" w:hAnsi="Arial"/>
                <w:b w:val="0"/>
                <w:sz w:val="16"/>
              </w:rPr>
              <w:t>Real password-reset email delivery and link</w:t>
            </w:r>
          </w:p>
        </w:tc>
        <w:tc>
          <w:tcPr>
            <w:tcW w:type="dxa" w:w="2635"/>
            <w:tcMar>
              <w:top w:w="70" w:type="dxa"/>
              <w:start w:w="80" w:type="dxa"/>
              <w:bottom w:w="70" w:type="dxa"/>
              <w:end w:w="80" w:type="dxa"/>
            </w:tcMar>
            <w:vAlign w:val="top"/>
          </w:tcPr>
          <w:p>
            <w:r>
              <w:rPr>
                <w:rFonts w:ascii="Arial" w:hAnsi="Arial"/>
                <w:b w:val="0"/>
                <w:sz w:val="16"/>
              </w:rPr>
              <w:t>External mailbox</w:t>
            </w:r>
          </w:p>
        </w:tc>
        <w:tc>
          <w:tcPr>
            <w:tcW w:type="dxa" w:w="2635"/>
            <w:tcMar>
              <w:top w:w="70" w:type="dxa"/>
              <w:start w:w="80" w:type="dxa"/>
              <w:bottom w:w="70" w:type="dxa"/>
              <w:end w:w="80" w:type="dxa"/>
            </w:tcMar>
            <w:vAlign w:val="top"/>
          </w:tcPr>
          <w:p>
            <w:r>
              <w:rPr>
                <w:rFonts w:ascii="Arial" w:hAnsi="Arial"/>
                <w:b w:val="0"/>
                <w:sz w:val="16"/>
              </w:rPr>
              <w:t>PASSED</w:t>
            </w:r>
          </w:p>
        </w:tc>
      </w:tr>
      <w:tr>
        <w:trPr>
          <w:cantSplit/>
        </w:trPr>
        <w:tc>
          <w:tcPr>
            <w:tcW w:type="dxa" w:w="2635"/>
            <w:tcMar>
              <w:top w:w="70" w:type="dxa"/>
              <w:start w:w="80" w:type="dxa"/>
              <w:bottom w:w="70" w:type="dxa"/>
              <w:end w:w="80" w:type="dxa"/>
            </w:tcMar>
            <w:vAlign w:val="top"/>
          </w:tcPr>
          <w:p>
            <w:r>
              <w:rPr>
                <w:rFonts w:ascii="Arial" w:hAnsi="Arial"/>
                <w:b w:val="0"/>
                <w:sz w:val="16"/>
              </w:rPr>
              <w:t>MAN-002</w:t>
            </w:r>
          </w:p>
        </w:tc>
        <w:tc>
          <w:tcPr>
            <w:tcW w:type="dxa" w:w="2635"/>
            <w:tcMar>
              <w:top w:w="70" w:type="dxa"/>
              <w:start w:w="80" w:type="dxa"/>
              <w:bottom w:w="70" w:type="dxa"/>
              <w:end w:w="80" w:type="dxa"/>
            </w:tcMar>
            <w:vAlign w:val="top"/>
          </w:tcPr>
          <w:p>
            <w:r>
              <w:rPr>
                <w:rFonts w:ascii="Arial" w:hAnsi="Arial"/>
                <w:b w:val="0"/>
                <w:sz w:val="16"/>
              </w:rPr>
              <w:t>Real account-setup email delivery</w:t>
            </w:r>
          </w:p>
        </w:tc>
        <w:tc>
          <w:tcPr>
            <w:tcW w:type="dxa" w:w="2635"/>
            <w:tcMar>
              <w:top w:w="70" w:type="dxa"/>
              <w:start w:w="80" w:type="dxa"/>
              <w:bottom w:w="70" w:type="dxa"/>
              <w:end w:w="80" w:type="dxa"/>
            </w:tcMar>
            <w:vAlign w:val="top"/>
          </w:tcPr>
          <w:p>
            <w:r>
              <w:rPr>
                <w:rFonts w:ascii="Arial" w:hAnsi="Arial"/>
                <w:b w:val="0"/>
                <w:sz w:val="16"/>
              </w:rPr>
              <w:t>External mailbox</w:t>
            </w:r>
          </w:p>
        </w:tc>
        <w:tc>
          <w:tcPr>
            <w:tcW w:type="dxa" w:w="2635"/>
            <w:tcMar>
              <w:top w:w="70" w:type="dxa"/>
              <w:start w:w="80" w:type="dxa"/>
              <w:bottom w:w="70" w:type="dxa"/>
              <w:end w:w="80" w:type="dxa"/>
            </w:tcMar>
            <w:vAlign w:val="top"/>
          </w:tcPr>
          <w:p>
            <w:r>
              <w:rPr>
                <w:rFonts w:ascii="Arial" w:hAnsi="Arial"/>
                <w:b w:val="0"/>
                <w:sz w:val="16"/>
              </w:rPr>
              <w:t>Not Tested</w:t>
            </w:r>
          </w:p>
        </w:tc>
      </w:tr>
      <w:tr>
        <w:trPr>
          <w:cantSplit/>
        </w:trPr>
        <w:tc>
          <w:tcPr>
            <w:tcW w:type="dxa" w:w="2635"/>
            <w:tcMar>
              <w:top w:w="70" w:type="dxa"/>
              <w:start w:w="80" w:type="dxa"/>
              <w:bottom w:w="70" w:type="dxa"/>
              <w:end w:w="80" w:type="dxa"/>
            </w:tcMar>
            <w:vAlign w:val="top"/>
          </w:tcPr>
          <w:p>
            <w:r>
              <w:rPr>
                <w:rFonts w:ascii="Arial" w:hAnsi="Arial"/>
                <w:b w:val="0"/>
                <w:sz w:val="16"/>
              </w:rPr>
              <w:t>MAN-003</w:t>
            </w:r>
          </w:p>
        </w:tc>
        <w:tc>
          <w:tcPr>
            <w:tcW w:type="dxa" w:w="2635"/>
            <w:tcMar>
              <w:top w:w="70" w:type="dxa"/>
              <w:start w:w="80" w:type="dxa"/>
              <w:bottom w:w="70" w:type="dxa"/>
              <w:end w:w="80" w:type="dxa"/>
            </w:tcMar>
            <w:vAlign w:val="top"/>
          </w:tcPr>
          <w:p>
            <w:r>
              <w:rPr>
                <w:rFonts w:ascii="Arial" w:hAnsi="Arial"/>
                <w:b w:val="0"/>
                <w:sz w:val="16"/>
              </w:rPr>
              <w:t>Immediate notification email delivery</w:t>
            </w:r>
          </w:p>
        </w:tc>
        <w:tc>
          <w:tcPr>
            <w:tcW w:type="dxa" w:w="2635"/>
            <w:tcMar>
              <w:top w:w="70" w:type="dxa"/>
              <w:start w:w="80" w:type="dxa"/>
              <w:bottom w:w="70" w:type="dxa"/>
              <w:end w:w="80" w:type="dxa"/>
            </w:tcMar>
            <w:vAlign w:val="top"/>
          </w:tcPr>
          <w:p>
            <w:r>
              <w:rPr>
                <w:rFonts w:ascii="Arial" w:hAnsi="Arial"/>
                <w:b w:val="0"/>
                <w:sz w:val="16"/>
              </w:rPr>
              <w:t>External mailbox</w:t>
            </w:r>
          </w:p>
        </w:tc>
        <w:tc>
          <w:tcPr>
            <w:tcW w:type="dxa" w:w="2635"/>
            <w:tcMar>
              <w:top w:w="70" w:type="dxa"/>
              <w:start w:w="80" w:type="dxa"/>
              <w:bottom w:w="70" w:type="dxa"/>
              <w:end w:w="80" w:type="dxa"/>
            </w:tcMar>
            <w:vAlign w:val="top"/>
          </w:tcPr>
          <w:p>
            <w:r>
              <w:rPr>
                <w:rFonts w:ascii="Arial" w:hAnsi="Arial"/>
                <w:b w:val="0"/>
                <w:sz w:val="16"/>
              </w:rPr>
              <w:t>Not Tested</w:t>
            </w:r>
          </w:p>
        </w:tc>
      </w:tr>
      <w:tr>
        <w:trPr>
          <w:cantSplit/>
        </w:trPr>
        <w:tc>
          <w:tcPr>
            <w:tcW w:type="dxa" w:w="2635"/>
            <w:tcMar>
              <w:top w:w="70" w:type="dxa"/>
              <w:start w:w="80" w:type="dxa"/>
              <w:bottom w:w="70" w:type="dxa"/>
              <w:end w:w="80" w:type="dxa"/>
            </w:tcMar>
            <w:vAlign w:val="top"/>
          </w:tcPr>
          <w:p>
            <w:r>
              <w:rPr>
                <w:rFonts w:ascii="Arial" w:hAnsi="Arial"/>
                <w:b w:val="0"/>
                <w:sz w:val="16"/>
              </w:rPr>
              <w:t>MAN-004</w:t>
            </w:r>
          </w:p>
        </w:tc>
        <w:tc>
          <w:tcPr>
            <w:tcW w:type="dxa" w:w="2635"/>
            <w:tcMar>
              <w:top w:w="70" w:type="dxa"/>
              <w:start w:w="80" w:type="dxa"/>
              <w:bottom w:w="70" w:type="dxa"/>
              <w:end w:w="80" w:type="dxa"/>
            </w:tcMar>
            <w:vAlign w:val="top"/>
          </w:tcPr>
          <w:p>
            <w:r>
              <w:rPr>
                <w:rFonts w:ascii="Arial" w:hAnsi="Arial"/>
                <w:b w:val="0"/>
                <w:sz w:val="16"/>
              </w:rPr>
              <w:t>Scheduled notification delivery in intended deployment</w:t>
            </w:r>
          </w:p>
        </w:tc>
        <w:tc>
          <w:tcPr>
            <w:tcW w:type="dxa" w:w="2635"/>
            <w:tcMar>
              <w:top w:w="70" w:type="dxa"/>
              <w:start w:w="80" w:type="dxa"/>
              <w:bottom w:w="70" w:type="dxa"/>
              <w:end w:w="80" w:type="dxa"/>
            </w:tcMar>
            <w:vAlign w:val="top"/>
          </w:tcPr>
          <w:p>
            <w:r>
              <w:rPr>
                <w:rFonts w:ascii="Arial" w:hAnsi="Arial"/>
                <w:b w:val="0"/>
                <w:sz w:val="16"/>
              </w:rPr>
              <w:t>Scheduler + mailbox</w:t>
            </w:r>
          </w:p>
        </w:tc>
        <w:tc>
          <w:tcPr>
            <w:tcW w:type="dxa" w:w="2635"/>
            <w:tcMar>
              <w:top w:w="70" w:type="dxa"/>
              <w:start w:w="80" w:type="dxa"/>
              <w:bottom w:w="70" w:type="dxa"/>
              <w:end w:w="80" w:type="dxa"/>
            </w:tcMar>
            <w:vAlign w:val="top"/>
          </w:tcPr>
          <w:p>
            <w:r>
              <w:rPr>
                <w:rFonts w:ascii="Arial" w:hAnsi="Arial"/>
                <w:b w:val="0"/>
                <w:sz w:val="16"/>
              </w:rPr>
              <w:t>Not Tested</w:t>
            </w:r>
          </w:p>
        </w:tc>
      </w:tr>
      <w:tr>
        <w:trPr>
          <w:cantSplit/>
        </w:trPr>
        <w:tc>
          <w:tcPr>
            <w:tcW w:type="dxa" w:w="2635"/>
            <w:tcMar>
              <w:top w:w="70" w:type="dxa"/>
              <w:start w:w="80" w:type="dxa"/>
              <w:bottom w:w="70" w:type="dxa"/>
              <w:end w:w="80" w:type="dxa"/>
            </w:tcMar>
            <w:vAlign w:val="top"/>
          </w:tcPr>
          <w:p>
            <w:r>
              <w:rPr>
                <w:rFonts w:ascii="Arial" w:hAnsi="Arial"/>
                <w:b w:val="0"/>
                <w:sz w:val="16"/>
              </w:rPr>
              <w:t>MAN-005</w:t>
            </w:r>
          </w:p>
        </w:tc>
        <w:tc>
          <w:tcPr>
            <w:tcW w:type="dxa" w:w="2635"/>
            <w:tcMar>
              <w:top w:w="70" w:type="dxa"/>
              <w:start w:w="80" w:type="dxa"/>
              <w:bottom w:w="70" w:type="dxa"/>
              <w:end w:w="80" w:type="dxa"/>
            </w:tcMar>
            <w:vAlign w:val="top"/>
          </w:tcPr>
          <w:p>
            <w:r>
              <w:rPr>
                <w:rFonts w:ascii="Arial" w:hAnsi="Arial"/>
                <w:b w:val="0"/>
                <w:sz w:val="16"/>
              </w:rPr>
              <w:t>IERB follow-up email delivery</w:t>
            </w:r>
          </w:p>
        </w:tc>
        <w:tc>
          <w:tcPr>
            <w:tcW w:type="dxa" w:w="2635"/>
            <w:tcMar>
              <w:top w:w="70" w:type="dxa"/>
              <w:start w:w="80" w:type="dxa"/>
              <w:bottom w:w="70" w:type="dxa"/>
              <w:end w:w="80" w:type="dxa"/>
            </w:tcMar>
            <w:vAlign w:val="top"/>
          </w:tcPr>
          <w:p>
            <w:r>
              <w:rPr>
                <w:rFonts w:ascii="Arial" w:hAnsi="Arial"/>
                <w:b w:val="0"/>
                <w:sz w:val="16"/>
              </w:rPr>
              <w:t>External mailbox</w:t>
            </w:r>
          </w:p>
        </w:tc>
        <w:tc>
          <w:tcPr>
            <w:tcW w:type="dxa" w:w="2635"/>
            <w:tcMar>
              <w:top w:w="70" w:type="dxa"/>
              <w:start w:w="80" w:type="dxa"/>
              <w:bottom w:w="70" w:type="dxa"/>
              <w:end w:w="80" w:type="dxa"/>
            </w:tcMar>
            <w:vAlign w:val="top"/>
          </w:tcPr>
          <w:p>
            <w:r>
              <w:rPr>
                <w:rFonts w:ascii="Arial" w:hAnsi="Arial"/>
                <w:b w:val="0"/>
                <w:sz w:val="16"/>
              </w:rPr>
              <w:t>Not Tested</w:t>
            </w:r>
          </w:p>
        </w:tc>
      </w:tr>
      <w:tr>
        <w:trPr>
          <w:cantSplit/>
        </w:trPr>
        <w:tc>
          <w:tcPr>
            <w:tcW w:type="dxa" w:w="2635"/>
            <w:tcMar>
              <w:top w:w="70" w:type="dxa"/>
              <w:start w:w="80" w:type="dxa"/>
              <w:bottom w:w="70" w:type="dxa"/>
              <w:end w:w="80" w:type="dxa"/>
            </w:tcMar>
            <w:vAlign w:val="top"/>
          </w:tcPr>
          <w:p>
            <w:r>
              <w:rPr>
                <w:rFonts w:ascii="Arial" w:hAnsi="Arial"/>
                <w:b w:val="0"/>
                <w:sz w:val="16"/>
              </w:rPr>
              <w:t>MAN-006</w:t>
            </w:r>
          </w:p>
        </w:tc>
        <w:tc>
          <w:tcPr>
            <w:tcW w:type="dxa" w:w="2635"/>
            <w:tcMar>
              <w:top w:w="70" w:type="dxa"/>
              <w:start w:w="80" w:type="dxa"/>
              <w:bottom w:w="70" w:type="dxa"/>
              <w:end w:w="80" w:type="dxa"/>
            </w:tcMar>
            <w:vAlign w:val="top"/>
          </w:tcPr>
          <w:p>
            <w:r>
              <w:rPr>
                <w:rFonts w:ascii="Arial" w:hAnsi="Arial"/>
                <w:b w:val="0"/>
                <w:sz w:val="16"/>
              </w:rPr>
              <w:t>Live AI report quality and PDF human review</w:t>
            </w:r>
          </w:p>
        </w:tc>
        <w:tc>
          <w:tcPr>
            <w:tcW w:type="dxa" w:w="2635"/>
            <w:tcMar>
              <w:top w:w="70" w:type="dxa"/>
              <w:start w:w="80" w:type="dxa"/>
              <w:bottom w:w="70" w:type="dxa"/>
              <w:end w:w="80" w:type="dxa"/>
            </w:tcMar>
            <w:vAlign w:val="top"/>
          </w:tcPr>
          <w:p>
            <w:r>
              <w:rPr>
                <w:rFonts w:ascii="Arial" w:hAnsi="Arial"/>
                <w:b w:val="0"/>
                <w:sz w:val="16"/>
              </w:rPr>
              <w:t>External AI + human judgment</w:t>
            </w:r>
          </w:p>
        </w:tc>
        <w:tc>
          <w:tcPr>
            <w:tcW w:type="dxa" w:w="2635"/>
            <w:tcMar>
              <w:top w:w="70" w:type="dxa"/>
              <w:start w:w="80" w:type="dxa"/>
              <w:bottom w:w="70" w:type="dxa"/>
              <w:end w:w="80" w:type="dxa"/>
            </w:tcMar>
            <w:vAlign w:val="top"/>
          </w:tcPr>
          <w:p>
            <w:r>
              <w:rPr>
                <w:rFonts w:ascii="Arial" w:hAnsi="Arial"/>
                <w:b w:val="0"/>
                <w:sz w:val="16"/>
              </w:rPr>
              <w:t>Not Tested</w:t>
            </w:r>
          </w:p>
        </w:tc>
      </w:tr>
      <w:tr>
        <w:trPr>
          <w:cantSplit/>
        </w:trPr>
        <w:tc>
          <w:tcPr>
            <w:tcW w:type="dxa" w:w="2635"/>
            <w:tcMar>
              <w:top w:w="70" w:type="dxa"/>
              <w:start w:w="80" w:type="dxa"/>
              <w:bottom w:w="70" w:type="dxa"/>
              <w:end w:w="80" w:type="dxa"/>
            </w:tcMar>
            <w:vAlign w:val="top"/>
          </w:tcPr>
          <w:p>
            <w:r>
              <w:rPr>
                <w:rFonts w:ascii="Arial" w:hAnsi="Arial"/>
                <w:b w:val="0"/>
                <w:sz w:val="16"/>
              </w:rPr>
              <w:t>MAN-007</w:t>
            </w:r>
          </w:p>
        </w:tc>
        <w:tc>
          <w:tcPr>
            <w:tcW w:type="dxa" w:w="2635"/>
            <w:tcMar>
              <w:top w:w="70" w:type="dxa"/>
              <w:start w:w="80" w:type="dxa"/>
              <w:bottom w:w="70" w:type="dxa"/>
              <w:end w:w="80" w:type="dxa"/>
            </w:tcMar>
            <w:vAlign w:val="top"/>
          </w:tcPr>
          <w:p>
            <w:r>
              <w:rPr>
                <w:rFonts w:ascii="Arial" w:hAnsi="Arial"/>
                <w:b w:val="0"/>
                <w:sz w:val="16"/>
              </w:rPr>
              <w:t>Responsive visual acceptance across key role pages</w:t>
            </w:r>
          </w:p>
        </w:tc>
        <w:tc>
          <w:tcPr>
            <w:tcW w:type="dxa" w:w="2635"/>
            <w:tcMar>
              <w:top w:w="70" w:type="dxa"/>
              <w:start w:w="80" w:type="dxa"/>
              <w:bottom w:w="70" w:type="dxa"/>
              <w:end w:w="80" w:type="dxa"/>
            </w:tcMar>
            <w:vAlign w:val="top"/>
          </w:tcPr>
          <w:p>
            <w:r>
              <w:rPr>
                <w:rFonts w:ascii="Arial" w:hAnsi="Arial"/>
                <w:b w:val="0"/>
                <w:sz w:val="16"/>
              </w:rPr>
              <w:t>Human visual judgment</w:t>
            </w:r>
          </w:p>
        </w:tc>
        <w:tc>
          <w:tcPr>
            <w:tcW w:type="dxa" w:w="2635"/>
            <w:tcMar>
              <w:top w:w="70" w:type="dxa"/>
              <w:start w:w="80" w:type="dxa"/>
              <w:bottom w:w="70" w:type="dxa"/>
              <w:end w:w="80" w:type="dxa"/>
            </w:tcMar>
            <w:vAlign w:val="top"/>
          </w:tcPr>
          <w:p>
            <w:r>
              <w:rPr>
                <w:rFonts w:ascii="Arial" w:hAnsi="Arial"/>
                <w:b w:val="0"/>
                <w:sz w:val="16"/>
              </w:rPr>
              <w:t>Not Tested</w:t>
            </w:r>
          </w:p>
        </w:tc>
      </w:tr>
      <w:tr>
        <w:trPr>
          <w:cantSplit/>
        </w:trPr>
        <w:tc>
          <w:tcPr>
            <w:tcW w:type="dxa" w:w="2635"/>
            <w:tcMar>
              <w:top w:w="70" w:type="dxa"/>
              <w:start w:w="80" w:type="dxa"/>
              <w:bottom w:w="70" w:type="dxa"/>
              <w:end w:w="80" w:type="dxa"/>
            </w:tcMar>
            <w:vAlign w:val="top"/>
          </w:tcPr>
          <w:p>
            <w:r>
              <w:rPr>
                <w:rFonts w:ascii="Arial" w:hAnsi="Arial"/>
                <w:b w:val="0"/>
                <w:sz w:val="16"/>
              </w:rPr>
              <w:t>MAN-008</w:t>
            </w:r>
          </w:p>
        </w:tc>
        <w:tc>
          <w:tcPr>
            <w:tcW w:type="dxa" w:w="2635"/>
            <w:tcMar>
              <w:top w:w="70" w:type="dxa"/>
              <w:start w:w="80" w:type="dxa"/>
              <w:bottom w:w="70" w:type="dxa"/>
              <w:end w:w="80" w:type="dxa"/>
            </w:tcMar>
            <w:vAlign w:val="top"/>
          </w:tcPr>
          <w:p>
            <w:r>
              <w:rPr>
                <w:rFonts w:ascii="Arial" w:hAnsi="Arial"/>
                <w:b w:val="0"/>
                <w:sz w:val="16"/>
              </w:rPr>
              <w:t>Keyboard/focus/accessibility acceptance</w:t>
            </w:r>
          </w:p>
        </w:tc>
        <w:tc>
          <w:tcPr>
            <w:tcW w:type="dxa" w:w="2635"/>
            <w:tcMar>
              <w:top w:w="70" w:type="dxa"/>
              <w:start w:w="80" w:type="dxa"/>
              <w:bottom w:w="70" w:type="dxa"/>
              <w:end w:w="80" w:type="dxa"/>
            </w:tcMar>
            <w:vAlign w:val="top"/>
          </w:tcPr>
          <w:p>
            <w:r>
              <w:rPr>
                <w:rFonts w:ascii="Arial" w:hAnsi="Arial"/>
                <w:b w:val="0"/>
                <w:sz w:val="16"/>
              </w:rPr>
              <w:t>Human interaction</w:t>
            </w:r>
          </w:p>
        </w:tc>
        <w:tc>
          <w:tcPr>
            <w:tcW w:type="dxa" w:w="2635"/>
            <w:tcMar>
              <w:top w:w="70" w:type="dxa"/>
              <w:start w:w="80" w:type="dxa"/>
              <w:bottom w:w="70" w:type="dxa"/>
              <w:end w:w="80" w:type="dxa"/>
            </w:tcMar>
            <w:vAlign w:val="top"/>
          </w:tcPr>
          <w:p>
            <w:r>
              <w:rPr>
                <w:rFonts w:ascii="Arial" w:hAnsi="Arial"/>
                <w:b w:val="0"/>
                <w:sz w:val="16"/>
              </w:rPr>
              <w:t>Not Tested</w:t>
            </w:r>
          </w:p>
        </w:tc>
      </w:tr>
      <w:tr>
        <w:trPr>
          <w:cantSplit/>
        </w:trPr>
        <w:tc>
          <w:tcPr>
            <w:tcW w:type="dxa" w:w="2635"/>
            <w:tcMar>
              <w:top w:w="70" w:type="dxa"/>
              <w:start w:w="80" w:type="dxa"/>
              <w:bottom w:w="70" w:type="dxa"/>
              <w:end w:w="80" w:type="dxa"/>
            </w:tcMar>
            <w:vAlign w:val="top"/>
          </w:tcPr>
          <w:p>
            <w:r>
              <w:rPr>
                <w:rFonts w:ascii="Arial" w:hAnsi="Arial"/>
                <w:b w:val="0"/>
                <w:sz w:val="16"/>
              </w:rPr>
              <w:t>MAN-009</w:t>
            </w:r>
          </w:p>
        </w:tc>
        <w:tc>
          <w:tcPr>
            <w:tcW w:type="dxa" w:w="2635"/>
            <w:tcMar>
              <w:top w:w="70" w:type="dxa"/>
              <w:start w:w="80" w:type="dxa"/>
              <w:bottom w:w="70" w:type="dxa"/>
              <w:end w:w="80" w:type="dxa"/>
            </w:tcMar>
            <w:vAlign w:val="top"/>
          </w:tcPr>
          <w:p>
            <w:r>
              <w:rPr>
                <w:rFonts w:ascii="Arial" w:hAnsi="Arial"/>
                <w:b w:val="0"/>
                <w:sz w:val="16"/>
              </w:rPr>
              <w:t>Human end-to-end workflow comprehension</w:t>
            </w:r>
          </w:p>
        </w:tc>
        <w:tc>
          <w:tcPr>
            <w:tcW w:type="dxa" w:w="2635"/>
            <w:tcMar>
              <w:top w:w="70" w:type="dxa"/>
              <w:start w:w="80" w:type="dxa"/>
              <w:bottom w:w="70" w:type="dxa"/>
              <w:end w:w="80" w:type="dxa"/>
            </w:tcMar>
            <w:vAlign w:val="top"/>
          </w:tcPr>
          <w:p>
            <w:r>
              <w:rPr>
                <w:rFonts w:ascii="Arial" w:hAnsi="Arial"/>
                <w:b w:val="0"/>
                <w:sz w:val="16"/>
              </w:rPr>
              <w:t>Human UAT</w:t>
            </w:r>
          </w:p>
        </w:tc>
        <w:tc>
          <w:tcPr>
            <w:tcW w:type="dxa" w:w="2635"/>
            <w:tcMar>
              <w:top w:w="70" w:type="dxa"/>
              <w:start w:w="80" w:type="dxa"/>
              <w:bottom w:w="70" w:type="dxa"/>
              <w:end w:w="80" w:type="dxa"/>
            </w:tcMar>
            <w:vAlign w:val="top"/>
          </w:tcPr>
          <w:p>
            <w:r>
              <w:rPr>
                <w:rFonts w:ascii="Arial" w:hAnsi="Arial"/>
                <w:b w:val="0"/>
                <w:sz w:val="16"/>
              </w:rPr>
              <w:t>Not Tested</w:t>
            </w:r>
          </w:p>
        </w:tc>
      </w:tr>
      <w:tr>
        <w:trPr>
          <w:cantSplit/>
        </w:trPr>
        <w:tc>
          <w:tcPr>
            <w:tcW w:type="dxa" w:w="2635"/>
            <w:tcMar>
              <w:top w:w="70" w:type="dxa"/>
              <w:start w:w="80" w:type="dxa"/>
              <w:bottom w:w="70" w:type="dxa"/>
              <w:end w:w="80" w:type="dxa"/>
            </w:tcMar>
            <w:vAlign w:val="top"/>
          </w:tcPr>
          <w:p>
            <w:r>
              <w:rPr>
                <w:rFonts w:ascii="Arial" w:hAnsi="Arial"/>
                <w:b w:val="0"/>
                <w:sz w:val="16"/>
              </w:rPr>
              <w:t>MAN-010</w:t>
            </w:r>
          </w:p>
        </w:tc>
        <w:tc>
          <w:tcPr>
            <w:tcW w:type="dxa" w:w="2635"/>
            <w:tcMar>
              <w:top w:w="70" w:type="dxa"/>
              <w:start w:w="80" w:type="dxa"/>
              <w:bottom w:w="70" w:type="dxa"/>
              <w:end w:w="80" w:type="dxa"/>
            </w:tcMar>
            <w:vAlign w:val="top"/>
          </w:tcPr>
          <w:p>
            <w:r>
              <w:rPr>
                <w:rFonts w:ascii="Arial" w:hAnsi="Arial"/>
                <w:b w:val="0"/>
                <w:sz w:val="16"/>
              </w:rPr>
              <w:t>Real cross-browser/deployed environment smoke</w:t>
            </w:r>
          </w:p>
        </w:tc>
        <w:tc>
          <w:tcPr>
            <w:tcW w:type="dxa" w:w="2635"/>
            <w:tcMar>
              <w:top w:w="70" w:type="dxa"/>
              <w:start w:w="80" w:type="dxa"/>
              <w:bottom w:w="70" w:type="dxa"/>
              <w:end w:w="80" w:type="dxa"/>
            </w:tcMar>
            <w:vAlign w:val="top"/>
          </w:tcPr>
          <w:p>
            <w:r>
              <w:rPr>
                <w:rFonts w:ascii="Arial" w:hAnsi="Arial"/>
                <w:b w:val="0"/>
                <w:sz w:val="16"/>
              </w:rPr>
              <w:t>External environment</w:t>
            </w:r>
          </w:p>
        </w:tc>
        <w:tc>
          <w:tcPr>
            <w:tcW w:type="dxa" w:w="2635"/>
            <w:tcMar>
              <w:top w:w="70" w:type="dxa"/>
              <w:start w:w="80" w:type="dxa"/>
              <w:bottom w:w="70" w:type="dxa"/>
              <w:end w:w="80" w:type="dxa"/>
            </w:tcMar>
            <w:vAlign w:val="top"/>
          </w:tcPr>
          <w:p>
            <w:r>
              <w:rPr>
                <w:rFonts w:ascii="Arial" w:hAnsi="Arial"/>
                <w:b w:val="0"/>
                <w:sz w:val="16"/>
              </w:rPr>
              <w:t>Not Tested</w:t>
            </w:r>
          </w:p>
        </w:tc>
      </w:tr>
      <w:tr>
        <w:trPr>
          <w:cantSplit/>
        </w:trPr>
        <w:tc>
          <w:tcPr>
            <w:tcW w:type="dxa" w:w="2635"/>
            <w:tcMar>
              <w:top w:w="70" w:type="dxa"/>
              <w:start w:w="80" w:type="dxa"/>
              <w:bottom w:w="70" w:type="dxa"/>
              <w:end w:w="80" w:type="dxa"/>
            </w:tcMar>
            <w:vAlign w:val="top"/>
          </w:tcPr>
          <w:p>
            <w:r>
              <w:rPr>
                <w:rFonts w:ascii="Arial" w:hAnsi="Arial"/>
                <w:b w:val="0"/>
                <w:sz w:val="16"/>
              </w:rPr>
              <w:t>MAN-011</w:t>
            </w:r>
          </w:p>
        </w:tc>
        <w:tc>
          <w:tcPr>
            <w:tcW w:type="dxa" w:w="2635"/>
            <w:tcMar>
              <w:top w:w="70" w:type="dxa"/>
              <w:start w:w="80" w:type="dxa"/>
              <w:bottom w:w="70" w:type="dxa"/>
              <w:end w:w="80" w:type="dxa"/>
            </w:tcMar>
            <w:vAlign w:val="top"/>
          </w:tcPr>
          <w:p>
            <w:r>
              <w:rPr>
                <w:rFonts w:ascii="Arial" w:hAnsi="Arial"/>
                <w:b w:val="0"/>
                <w:sz w:val="16"/>
              </w:rPr>
              <w:t>Operator-controlled schema v6 migration gate for important deployment DB</w:t>
            </w:r>
          </w:p>
        </w:tc>
        <w:tc>
          <w:tcPr>
            <w:tcW w:type="dxa" w:w="2635"/>
            <w:tcMar>
              <w:top w:w="70" w:type="dxa"/>
              <w:start w:w="80" w:type="dxa"/>
              <w:bottom w:w="70" w:type="dxa"/>
              <w:end w:w="80" w:type="dxa"/>
            </w:tcMar>
            <w:vAlign w:val="top"/>
          </w:tcPr>
          <w:p>
            <w:r>
              <w:rPr>
                <w:rFonts w:ascii="Arial" w:hAnsi="Arial"/>
                <w:b w:val="0"/>
                <w:sz w:val="16"/>
              </w:rPr>
              <w:t>Operator authorization</w:t>
            </w:r>
          </w:p>
        </w:tc>
        <w:tc>
          <w:tcPr>
            <w:tcW w:type="dxa" w:w="2635"/>
            <w:tcMar>
              <w:top w:w="70" w:type="dxa"/>
              <w:start w:w="80" w:type="dxa"/>
              <w:bottom w:w="70" w:type="dxa"/>
              <w:end w:w="80" w:type="dxa"/>
            </w:tcMar>
            <w:vAlign w:val="top"/>
          </w:tcPr>
          <w:p>
            <w:r>
              <w:rPr>
                <w:rFonts w:ascii="Arial" w:hAnsi="Arial"/>
                <w:b w:val="0"/>
                <w:sz w:val="16"/>
              </w:rPr>
              <w:t>Partial - test DB verified</w:t>
            </w:r>
          </w:p>
        </w:tc>
      </w:tr>
    </w:tbl>
    <w:p>
      <w:pPr>
        <w:pStyle w:val="Heading1"/>
      </w:pPr>
      <w:r>
        <w:rPr>
          <w:rFonts w:ascii="Arial" w:hAnsi="Arial"/>
          <w:b/>
          <w:color w:val="183E6B"/>
          <w:sz w:val="28"/>
        </w:rPr>
        <w:t>5. Detailed Manual-Only Cases</w:t>
      </w:r>
    </w:p>
    <w:p>
      <w:pPr>
        <w:keepNext/>
        <w:spacing w:before="140" w:after="40"/>
      </w:pPr>
      <w:r>
        <w:rPr>
          <w:rFonts w:ascii="Arial" w:hAnsi="Arial"/>
          <w:b/>
          <w:color w:val="183E6B"/>
          <w:sz w:val="23"/>
        </w:rPr>
        <w:t>MAN-001 - Real Password-Reset Email Delivery and Link</w:t>
      </w:r>
    </w:p>
    <w:tbl>
      <w:tblPr>
        <w:tblStyle w:val="TableGrid"/>
        <w:tblW w:type="auto" w:w="0"/>
        <w:jc w:val="center"/>
        <w:tblLook w:firstColumn="1" w:firstRow="1" w:lastColumn="0" w:lastRow="0" w:noHBand="0" w:noVBand="1" w:val="04A0"/>
      </w:tblPr>
      <w:tblGrid>
        <w:gridCol w:w="5270"/>
        <w:gridCol w:w="5270"/>
      </w:tblGrid>
      <w:tr>
        <w:trPr>
          <w:cantSplit/>
        </w:trPr>
        <w:tc>
          <w:tcPr>
            <w:tcW w:type="dxa" w:w="5270"/>
            <w:shd w:fill="EAF0F7"/>
            <w:tcMar>
              <w:top w:w="70" w:type="dxa"/>
              <w:start w:w="80" w:type="dxa"/>
              <w:bottom w:w="70" w:type="dxa"/>
              <w:end w:w="80" w:type="dxa"/>
            </w:tcMar>
            <w:vAlign w:val="top"/>
          </w:tcPr>
          <w:p>
            <w:r>
              <w:rPr>
                <w:rFonts w:ascii="Arial" w:hAnsi="Arial"/>
                <w:b/>
                <w:color w:val="183E6B"/>
                <w:sz w:val="16"/>
              </w:rPr>
              <w:t>Why manual-only</w:t>
            </w:r>
          </w:p>
        </w:tc>
        <w:tc>
          <w:tcPr>
            <w:tcW w:type="dxa" w:w="5270"/>
            <w:tcMar>
              <w:top w:w="70" w:type="dxa"/>
              <w:start w:w="80" w:type="dxa"/>
              <w:bottom w:w="70" w:type="dxa"/>
              <w:end w:w="80" w:type="dxa"/>
            </w:tcMar>
            <w:vAlign w:val="top"/>
          </w:tcPr>
          <w:p>
            <w:r>
              <w:rPr>
                <w:rFonts w:ascii="Arial" w:hAnsi="Arial"/>
                <w:b w:val="0"/>
                <w:sz w:val="16"/>
              </w:rPr>
              <w:t>Code/tests can validate token logic and mail construction, but only the controlled mailbox proves real delivery and the delivered link in the actual mail route.</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Preconditions</w:t>
            </w:r>
          </w:p>
        </w:tc>
        <w:tc>
          <w:tcPr>
            <w:tcW w:type="dxa" w:w="5270"/>
            <w:tcMar>
              <w:top w:w="70" w:type="dxa"/>
              <w:start w:w="80" w:type="dxa"/>
              <w:bottom w:w="70" w:type="dxa"/>
              <w:end w:w="80" w:type="dxa"/>
            </w:tcMar>
            <w:vAlign w:val="top"/>
          </w:tcPr>
          <w:p>
            <w:r>
              <w:rPr>
                <w:rFonts w:ascii="Arial" w:hAnsi="Arial"/>
                <w:b w:val="0"/>
                <w:sz w:val="16"/>
              </w:rPr>
              <w:t>Controlled test inbox; mail enabled; valid canonical application URL; disposable known account.</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Steps</w:t>
            </w:r>
          </w:p>
        </w:tc>
        <w:tc>
          <w:tcPr>
            <w:tcW w:type="dxa" w:w="5270"/>
            <w:tcMar>
              <w:top w:w="70" w:type="dxa"/>
              <w:start w:w="80" w:type="dxa"/>
              <w:bottom w:w="70" w:type="dxa"/>
              <w:end w:w="80" w:type="dxa"/>
            </w:tcMar>
            <w:vAlign w:val="top"/>
          </w:tcPr>
          <w:p>
            <w:pPr>
              <w:spacing w:after="10"/>
            </w:pPr>
            <w:r/>
            <w:r>
              <w:rPr>
                <w:rFonts w:ascii="Arial" w:hAnsi="Arial"/>
                <w:b w:val="0"/>
                <w:sz w:val="16"/>
              </w:rPr>
              <w:t>1. Request a reset for a known test account and separately for an unknown valid-format email.</w:t>
            </w:r>
          </w:p>
          <w:p>
            <w:pPr>
              <w:spacing w:after="10"/>
            </w:pPr>
            <w:r>
              <w:rPr>
                <w:rFonts w:ascii="Arial" w:hAnsi="Arial"/>
                <w:b w:val="0"/>
                <w:sz w:val="16"/>
              </w:rPr>
              <w:t>2. Inspect only the controlled known inbox and confirm the real reset message arrives.</w:t>
            </w:r>
          </w:p>
          <w:p>
            <w:pPr>
              <w:spacing w:after="10"/>
            </w:pPr>
            <w:r>
              <w:rPr>
                <w:rFonts w:ascii="Arial" w:hAnsi="Arial"/>
                <w:b w:val="0"/>
                <w:sz w:val="16"/>
              </w:rPr>
              <w:t>3. Open the delivered link and confirm it targets the intended application origin.</w:t>
            </w:r>
          </w:p>
          <w:p>
            <w:pPr>
              <w:spacing w:after="10"/>
            </w:pPr>
            <w:r>
              <w:rPr>
                <w:rFonts w:ascii="Arial" w:hAnsi="Arial"/>
                <w:b w:val="0"/>
                <w:sz w:val="16"/>
              </w:rPr>
              <w:t>4. Request another reset within the cooldown period and confirm no duplicate real email is sent when cooldown applies.</w:t>
            </w:r>
          </w:p>
          <w:p>
            <w:pPr>
              <w:spacing w:after="10"/>
            </w:pPr>
            <w:r>
              <w:rPr>
                <w:rFonts w:ascii="Arial" w:hAnsi="Arial"/>
                <w:b w:val="0"/>
                <w:sz w:val="16"/>
              </w:rPr>
              <w:t>5. Complete the reset and sign in with the new password.</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Expected result</w:t>
            </w:r>
          </w:p>
        </w:tc>
        <w:tc>
          <w:tcPr>
            <w:tcW w:type="dxa" w:w="5270"/>
            <w:tcMar>
              <w:top w:w="70" w:type="dxa"/>
              <w:start w:w="80" w:type="dxa"/>
              <w:bottom w:w="70" w:type="dxa"/>
              <w:end w:w="80" w:type="dxa"/>
            </w:tcMar>
            <w:vAlign w:val="top"/>
          </w:tcPr>
          <w:p>
            <w:r>
              <w:rPr>
                <w:rFonts w:ascii="Arial" w:hAnsi="Arial"/>
                <w:b w:val="0"/>
                <w:sz w:val="16"/>
              </w:rPr>
              <w:t>Generic UI behavior is preserved; only the known account receives the real email; the delivered link targets the correct origin and completes the reset. No token/secret is copied into evidence.</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Status</w:t>
            </w:r>
          </w:p>
        </w:tc>
        <w:tc>
          <w:tcPr>
            <w:tcW w:type="dxa" w:w="5270"/>
            <w:tcMar>
              <w:top w:w="70" w:type="dxa"/>
              <w:start w:w="80" w:type="dxa"/>
              <w:bottom w:w="70" w:type="dxa"/>
              <w:end w:w="80" w:type="dxa"/>
            </w:tcMar>
            <w:vAlign w:val="top"/>
          </w:tcPr>
          <w:p>
            <w:r>
              <w:rPr>
                <w:rFonts w:ascii="Arial" w:hAnsi="Arial"/>
                <w:b w:val="0"/>
                <w:sz w:val="16"/>
              </w:rPr>
              <w:t>PASSED</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Evidence / Remarks</w:t>
            </w:r>
          </w:p>
        </w:tc>
        <w:tc>
          <w:tcPr>
            <w:tcW w:type="dxa" w:w="5270"/>
            <w:tcMar>
              <w:top w:w="70" w:type="dxa"/>
              <w:start w:w="80" w:type="dxa"/>
              <w:bottom w:w="70" w:type="dxa"/>
              <w:end w:w="80" w:type="dxa"/>
            </w:tcMar>
            <w:vAlign w:val="top"/>
          </w:tcPr>
          <w:p>
            <w:r>
              <w:rPr>
                <w:rFonts w:ascii="Arial" w:hAnsi="Arial"/>
                <w:b w:val="0"/>
                <w:sz w:val="16"/>
              </w:rPr>
              <w:t>Carried forward from the completed AUTH-012 to AUTH-014 manual run; the user confirmed controlled test inbox receipt and successful reset behavior.</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Original coverage linked</w:t>
            </w:r>
          </w:p>
        </w:tc>
        <w:tc>
          <w:tcPr>
            <w:tcW w:type="dxa" w:w="5270"/>
            <w:tcMar>
              <w:top w:w="70" w:type="dxa"/>
              <w:start w:w="80" w:type="dxa"/>
              <w:bottom w:w="70" w:type="dxa"/>
              <w:end w:w="80" w:type="dxa"/>
            </w:tcMar>
            <w:vAlign w:val="top"/>
          </w:tcPr>
          <w:p>
            <w:r>
              <w:rPr>
                <w:rFonts w:ascii="Arial" w:hAnsi="Arial"/>
                <w:b w:val="0"/>
                <w:sz w:val="16"/>
              </w:rPr>
              <w:t>AUTH-012, AUTH-013, AUTH-014 external-delivery portion.</w:t>
            </w:r>
          </w:p>
        </w:tc>
      </w:tr>
    </w:tbl>
    <w:p>
      <w:pPr>
        <w:keepNext/>
        <w:spacing w:before="140" w:after="40"/>
      </w:pPr>
      <w:r>
        <w:rPr>
          <w:rFonts w:ascii="Arial" w:hAnsi="Arial"/>
          <w:b/>
          <w:color w:val="183E6B"/>
          <w:sz w:val="23"/>
        </w:rPr>
        <w:t>MAN-002 - Real Account-Setup Email Delivery</w:t>
      </w:r>
    </w:p>
    <w:tbl>
      <w:tblPr>
        <w:tblStyle w:val="TableGrid"/>
        <w:tblW w:type="auto" w:w="0"/>
        <w:jc w:val="center"/>
        <w:tblLook w:firstColumn="1" w:firstRow="1" w:lastColumn="0" w:lastRow="0" w:noHBand="0" w:noVBand="1" w:val="04A0"/>
      </w:tblPr>
      <w:tblGrid>
        <w:gridCol w:w="5270"/>
        <w:gridCol w:w="5270"/>
      </w:tblGrid>
      <w:tr>
        <w:trPr>
          <w:cantSplit/>
        </w:trPr>
        <w:tc>
          <w:tcPr>
            <w:tcW w:type="dxa" w:w="5270"/>
            <w:shd w:fill="EAF0F7"/>
            <w:tcMar>
              <w:top w:w="70" w:type="dxa"/>
              <w:start w:w="80" w:type="dxa"/>
              <w:bottom w:w="70" w:type="dxa"/>
              <w:end w:w="80" w:type="dxa"/>
            </w:tcMar>
            <w:vAlign w:val="top"/>
          </w:tcPr>
          <w:p>
            <w:r>
              <w:rPr>
                <w:rFonts w:ascii="Arial" w:hAnsi="Arial"/>
                <w:b/>
                <w:color w:val="183E6B"/>
                <w:sz w:val="16"/>
              </w:rPr>
              <w:t>Why manual-only</w:t>
            </w:r>
          </w:p>
        </w:tc>
        <w:tc>
          <w:tcPr>
            <w:tcW w:type="dxa" w:w="5270"/>
            <w:tcMar>
              <w:top w:w="70" w:type="dxa"/>
              <w:start w:w="80" w:type="dxa"/>
              <w:bottom w:w="70" w:type="dxa"/>
              <w:end w:w="80" w:type="dxa"/>
            </w:tcMar>
            <w:vAlign w:val="top"/>
          </w:tcPr>
          <w:p>
            <w:r>
              <w:rPr>
                <w:rFonts w:ascii="Arial" w:hAnsi="Arial"/>
                <w:b w:val="0"/>
                <w:sz w:val="16"/>
              </w:rPr>
              <w:t>Provisioning persistence can be automated, but real mailbox receipt and practical setup instructions require external observation.</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Preconditions</w:t>
            </w:r>
          </w:p>
        </w:tc>
        <w:tc>
          <w:tcPr>
            <w:tcW w:type="dxa" w:w="5270"/>
            <w:tcMar>
              <w:top w:w="70" w:type="dxa"/>
              <w:start w:w="80" w:type="dxa"/>
              <w:bottom w:w="70" w:type="dxa"/>
              <w:end w:w="80" w:type="dxa"/>
            </w:tcMar>
            <w:vAlign w:val="top"/>
          </w:tcPr>
          <w:p>
            <w:r>
              <w:rPr>
                <w:rFonts w:ascii="Arial" w:hAnsi="Arial"/>
                <w:b w:val="0"/>
                <w:sz w:val="16"/>
              </w:rPr>
              <w:t>Controlled student/adviser test inbox; real mail transport; disposable new account; production disclosure policy enabled.</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Steps</w:t>
            </w:r>
          </w:p>
        </w:tc>
        <w:tc>
          <w:tcPr>
            <w:tcW w:type="dxa" w:w="5270"/>
            <w:tcMar>
              <w:top w:w="70" w:type="dxa"/>
              <w:start w:w="80" w:type="dxa"/>
              <w:bottom w:w="70" w:type="dxa"/>
              <w:end w:w="80" w:type="dxa"/>
            </w:tcMar>
            <w:vAlign w:val="top"/>
          </w:tcPr>
          <w:p>
            <w:pPr>
              <w:spacing w:after="10"/>
            </w:pPr>
            <w:r/>
            <w:r>
              <w:rPr>
                <w:rFonts w:ascii="Arial" w:hAnsi="Arial"/>
                <w:b w:val="0"/>
                <w:sz w:val="16"/>
              </w:rPr>
              <w:t>1. Create one disposable account through a supported administrative path.</w:t>
            </w:r>
          </w:p>
          <w:p>
            <w:pPr>
              <w:spacing w:after="10"/>
            </w:pPr>
            <w:r>
              <w:rPr>
                <w:rFonts w:ascii="Arial" w:hAnsi="Arial"/>
                <w:b w:val="0"/>
                <w:sz w:val="16"/>
              </w:rPr>
              <w:t>2. Observe UI/API delivery state without recording plaintext credentials.</w:t>
            </w:r>
          </w:p>
          <w:p>
            <w:pPr>
              <w:spacing w:after="10"/>
            </w:pPr>
            <w:r>
              <w:rPr>
                <w:rFonts w:ascii="Arial" w:hAnsi="Arial"/>
                <w:b w:val="0"/>
                <w:sz w:val="16"/>
              </w:rPr>
              <w:t>3. Confirm the real setup message arrives in the controlled inbox.</w:t>
            </w:r>
          </w:p>
          <w:p>
            <w:pPr>
              <w:spacing w:after="10"/>
            </w:pPr>
            <w:r>
              <w:rPr>
                <w:rFonts w:ascii="Arial" w:hAnsi="Arial"/>
                <w:b w:val="0"/>
                <w:sz w:val="16"/>
              </w:rPr>
              <w:t>4. Follow the setup instructions through first login/password-change.</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Expected result</w:t>
            </w:r>
          </w:p>
        </w:tc>
        <w:tc>
          <w:tcPr>
            <w:tcW w:type="dxa" w:w="5270"/>
            <w:tcMar>
              <w:top w:w="70" w:type="dxa"/>
              <w:start w:w="80" w:type="dxa"/>
              <w:bottom w:w="70" w:type="dxa"/>
              <w:end w:w="80" w:type="dxa"/>
            </w:tcMar>
            <w:vAlign w:val="top"/>
          </w:tcPr>
          <w:p>
            <w:r>
              <w:rPr>
                <w:rFonts w:ascii="Arial" w:hAnsi="Arial"/>
                <w:b w:val="0"/>
                <w:sz w:val="16"/>
              </w:rPr>
              <w:t>Account persists; when delivery is reported as sent, the controlled inbox receives the setup message; no plaintext temporary password is exposed under production policy; setup instructions are usable.</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Status</w:t>
            </w:r>
          </w:p>
        </w:tc>
        <w:tc>
          <w:tcPr>
            <w:tcW w:type="dxa" w:w="5270"/>
            <w:tcMar>
              <w:top w:w="70" w:type="dxa"/>
              <w:start w:w="80" w:type="dxa"/>
              <w:bottom w:w="70" w:type="dxa"/>
              <w:end w:w="80" w:type="dxa"/>
            </w:tcMar>
            <w:vAlign w:val="top"/>
          </w:tcPr>
          <w:p>
            <w:r>
              <w:rPr>
                <w:rFonts w:ascii="Arial" w:hAnsi="Arial"/>
                <w:b w:val="0"/>
                <w:sz w:val="16"/>
              </w:rPr>
              <w:t>Not Tested</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Evidence / Remarks</w:t>
            </w:r>
          </w:p>
        </w:tc>
        <w:tc>
          <w:tcPr>
            <w:tcW w:type="dxa" w:w="5270"/>
            <w:tcMar>
              <w:top w:w="70" w:type="dxa"/>
              <w:start w:w="80" w:type="dxa"/>
              <w:bottom w:w="70" w:type="dxa"/>
              <w:end w:w="80" w:type="dxa"/>
            </w:tcMar>
            <w:vAlign w:val="top"/>
          </w:tcPr>
          <w:p>
            <w:r>
              <w:rPr>
                <w:rFonts w:ascii="Arial" w:hAnsi="Arial"/>
                <w:b w:val="0"/>
                <w:sz w:val="16"/>
              </w:rPr>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Original coverage linked</w:t>
            </w:r>
          </w:p>
        </w:tc>
        <w:tc>
          <w:tcPr>
            <w:tcW w:type="dxa" w:w="5270"/>
            <w:tcMar>
              <w:top w:w="70" w:type="dxa"/>
              <w:start w:w="80" w:type="dxa"/>
              <w:bottom w:w="70" w:type="dxa"/>
              <w:end w:w="80" w:type="dxa"/>
            </w:tcMar>
            <w:vAlign w:val="top"/>
          </w:tcPr>
          <w:p>
            <w:r>
              <w:rPr>
                <w:rFonts w:ascii="Arial" w:hAnsi="Arial"/>
                <w:b w:val="0"/>
                <w:sz w:val="16"/>
              </w:rPr>
              <w:t>STU-001 delivery component, STU-014, SEC-011.</w:t>
            </w:r>
          </w:p>
        </w:tc>
      </w:tr>
    </w:tbl>
    <w:p>
      <w:pPr>
        <w:keepNext/>
        <w:spacing w:before="140" w:after="40"/>
      </w:pPr>
      <w:r>
        <w:rPr>
          <w:rFonts w:ascii="Arial" w:hAnsi="Arial"/>
          <w:b/>
          <w:color w:val="183E6B"/>
          <w:sz w:val="23"/>
        </w:rPr>
        <w:t>MAN-003 - Immediate Notification Email Delivery</w:t>
      </w:r>
    </w:p>
    <w:tbl>
      <w:tblPr>
        <w:tblStyle w:val="TableGrid"/>
        <w:tblW w:type="auto" w:w="0"/>
        <w:jc w:val="center"/>
        <w:tblLook w:firstColumn="1" w:firstRow="1" w:lastColumn="0" w:lastRow="0" w:noHBand="0" w:noVBand="1" w:val="04A0"/>
      </w:tblPr>
      <w:tblGrid>
        <w:gridCol w:w="5270"/>
        <w:gridCol w:w="5270"/>
      </w:tblGrid>
      <w:tr>
        <w:trPr>
          <w:cantSplit/>
        </w:trPr>
        <w:tc>
          <w:tcPr>
            <w:tcW w:type="dxa" w:w="5270"/>
            <w:shd w:fill="EAF0F7"/>
            <w:tcMar>
              <w:top w:w="70" w:type="dxa"/>
              <w:start w:w="80" w:type="dxa"/>
              <w:bottom w:w="70" w:type="dxa"/>
              <w:end w:w="80" w:type="dxa"/>
            </w:tcMar>
            <w:vAlign w:val="top"/>
          </w:tcPr>
          <w:p>
            <w:r>
              <w:rPr>
                <w:rFonts w:ascii="Arial" w:hAnsi="Arial"/>
                <w:b/>
                <w:color w:val="183E6B"/>
                <w:sz w:val="16"/>
              </w:rPr>
              <w:t>Why manual-only</w:t>
            </w:r>
          </w:p>
        </w:tc>
        <w:tc>
          <w:tcPr>
            <w:tcW w:type="dxa" w:w="5270"/>
            <w:tcMar>
              <w:top w:w="70" w:type="dxa"/>
              <w:start w:w="80" w:type="dxa"/>
              <w:bottom w:w="70" w:type="dxa"/>
              <w:end w:w="80" w:type="dxa"/>
            </w:tcMar>
            <w:vAlign w:val="top"/>
          </w:tcPr>
          <w:p>
            <w:r>
              <w:rPr>
                <w:rFonts w:ascii="Arial" w:hAnsi="Arial"/>
                <w:b w:val="0"/>
                <w:sz w:val="16"/>
              </w:rPr>
              <w:t>Audience logic is automatable; real external inbox delivery is not.</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Preconditions</w:t>
            </w:r>
          </w:p>
        </w:tc>
        <w:tc>
          <w:tcPr>
            <w:tcW w:type="dxa" w:w="5270"/>
            <w:tcMar>
              <w:top w:w="70" w:type="dxa"/>
              <w:start w:w="80" w:type="dxa"/>
              <w:bottom w:w="70" w:type="dxa"/>
              <w:end w:w="80" w:type="dxa"/>
            </w:tcMar>
            <w:vAlign w:val="top"/>
          </w:tcPr>
          <w:p>
            <w:r>
              <w:rPr>
                <w:rFonts w:ascii="Arial" w:hAnsi="Arial"/>
                <w:b w:val="0"/>
                <w:sz w:val="16"/>
              </w:rPr>
              <w:t>Controlled student/adviser inboxes; known assignments; mail transport enabled.</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Steps</w:t>
            </w:r>
          </w:p>
        </w:tc>
        <w:tc>
          <w:tcPr>
            <w:tcW w:type="dxa" w:w="5270"/>
            <w:tcMar>
              <w:top w:w="70" w:type="dxa"/>
              <w:start w:w="80" w:type="dxa"/>
              <w:bottom w:w="70" w:type="dxa"/>
              <w:end w:w="80" w:type="dxa"/>
            </w:tcMar>
            <w:vAlign w:val="top"/>
          </w:tcPr>
          <w:p>
            <w:pPr>
              <w:spacing w:after="10"/>
            </w:pPr>
            <w:r/>
            <w:r>
              <w:rPr>
                <w:rFonts w:ascii="Arial" w:hAnsi="Arial"/>
                <w:b w:val="0"/>
                <w:sz w:val="16"/>
              </w:rPr>
              <w:t>1. Send one immediate admin notification to a representative student audience.</w:t>
            </w:r>
          </w:p>
          <w:p>
            <w:pPr>
              <w:spacing w:after="10"/>
            </w:pPr>
            <w:r>
              <w:rPr>
                <w:rFonts w:ascii="Arial" w:hAnsi="Arial"/>
                <w:b w:val="0"/>
                <w:sz w:val="16"/>
              </w:rPr>
              <w:t>2. Send one immediate adviser notification within the adviser scope.</w:t>
            </w:r>
          </w:p>
          <w:p>
            <w:pPr>
              <w:spacing w:after="10"/>
            </w:pPr>
            <w:r>
              <w:rPr>
                <w:rFonts w:ascii="Arial" w:hAnsi="Arial"/>
                <w:b w:val="0"/>
                <w:sz w:val="16"/>
              </w:rPr>
              <w:t>3. Check intended controlled inboxes and one deliberately excluded inbox.</w:t>
            </w:r>
          </w:p>
          <w:p>
            <w:pPr>
              <w:spacing w:after="10"/>
            </w:pPr>
            <w:r>
              <w:rPr>
                <w:rFonts w:ascii="Arial" w:hAnsi="Arial"/>
                <w:b w:val="0"/>
                <w:sz w:val="16"/>
              </w:rPr>
              <w:t>4. Compare observed receipt with PRISM delivery/history state.</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Expected result</w:t>
            </w:r>
          </w:p>
        </w:tc>
        <w:tc>
          <w:tcPr>
            <w:tcW w:type="dxa" w:w="5270"/>
            <w:tcMar>
              <w:top w:w="70" w:type="dxa"/>
              <w:start w:w="80" w:type="dxa"/>
              <w:bottom w:w="70" w:type="dxa"/>
              <w:end w:w="80" w:type="dxa"/>
            </w:tcMar>
            <w:vAlign w:val="top"/>
          </w:tcPr>
          <w:p>
            <w:r>
              <w:rPr>
                <w:rFonts w:ascii="Arial" w:hAnsi="Arial"/>
                <w:b w:val="0"/>
                <w:sz w:val="16"/>
              </w:rPr>
              <w:t>Intended recipients receive the real email; excluded recipients do not; displayed delivery state matches the observed outcome.</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Status</w:t>
            </w:r>
          </w:p>
        </w:tc>
        <w:tc>
          <w:tcPr>
            <w:tcW w:type="dxa" w:w="5270"/>
            <w:tcMar>
              <w:top w:w="70" w:type="dxa"/>
              <w:start w:w="80" w:type="dxa"/>
              <w:bottom w:w="70" w:type="dxa"/>
              <w:end w:w="80" w:type="dxa"/>
            </w:tcMar>
            <w:vAlign w:val="top"/>
          </w:tcPr>
          <w:p>
            <w:r>
              <w:rPr>
                <w:rFonts w:ascii="Arial" w:hAnsi="Arial"/>
                <w:b w:val="0"/>
                <w:sz w:val="16"/>
              </w:rPr>
              <w:t>Not Tested</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Evidence / Remarks</w:t>
            </w:r>
          </w:p>
        </w:tc>
        <w:tc>
          <w:tcPr>
            <w:tcW w:type="dxa" w:w="5270"/>
            <w:tcMar>
              <w:top w:w="70" w:type="dxa"/>
              <w:start w:w="80" w:type="dxa"/>
              <w:bottom w:w="70" w:type="dxa"/>
              <w:end w:w="80" w:type="dxa"/>
            </w:tcMar>
            <w:vAlign w:val="top"/>
          </w:tcPr>
          <w:p>
            <w:r>
              <w:rPr>
                <w:rFonts w:ascii="Arial" w:hAnsi="Arial"/>
                <w:b w:val="0"/>
                <w:sz w:val="16"/>
              </w:rPr>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Original coverage linked</w:t>
            </w:r>
          </w:p>
        </w:tc>
        <w:tc>
          <w:tcPr>
            <w:tcW w:type="dxa" w:w="5270"/>
            <w:tcMar>
              <w:top w:w="70" w:type="dxa"/>
              <w:start w:w="80" w:type="dxa"/>
              <w:bottom w:w="70" w:type="dxa"/>
              <w:end w:w="80" w:type="dxa"/>
            </w:tcMar>
            <w:vAlign w:val="top"/>
          </w:tcPr>
          <w:p>
            <w:r>
              <w:rPr>
                <w:rFonts w:ascii="Arial" w:hAnsi="Arial"/>
                <w:b w:val="0"/>
                <w:sz w:val="16"/>
              </w:rPr>
              <w:t>NOTIF-001 to NOTIF-004 external-delivery portion.</w:t>
            </w:r>
          </w:p>
        </w:tc>
      </w:tr>
    </w:tbl>
    <w:p>
      <w:pPr>
        <w:keepNext/>
        <w:spacing w:before="140" w:after="40"/>
      </w:pPr>
      <w:r>
        <w:rPr>
          <w:rFonts w:ascii="Arial" w:hAnsi="Arial"/>
          <w:b/>
          <w:color w:val="183E6B"/>
          <w:sz w:val="23"/>
        </w:rPr>
        <w:t>MAN-004 - Scheduled Notification Delivery in Intended Deployment</w:t>
      </w:r>
    </w:p>
    <w:tbl>
      <w:tblPr>
        <w:tblStyle w:val="TableGrid"/>
        <w:tblW w:type="auto" w:w="0"/>
        <w:jc w:val="center"/>
        <w:tblLook w:firstColumn="1" w:firstRow="1" w:lastColumn="0" w:lastRow="0" w:noHBand="0" w:noVBand="1" w:val="04A0"/>
      </w:tblPr>
      <w:tblGrid>
        <w:gridCol w:w="5270"/>
        <w:gridCol w:w="5270"/>
      </w:tblGrid>
      <w:tr>
        <w:trPr>
          <w:cantSplit/>
        </w:trPr>
        <w:tc>
          <w:tcPr>
            <w:tcW w:type="dxa" w:w="5270"/>
            <w:shd w:fill="EAF0F7"/>
            <w:tcMar>
              <w:top w:w="70" w:type="dxa"/>
              <w:start w:w="80" w:type="dxa"/>
              <w:bottom w:w="70" w:type="dxa"/>
              <w:end w:w="80" w:type="dxa"/>
            </w:tcMar>
            <w:vAlign w:val="top"/>
          </w:tcPr>
          <w:p>
            <w:r>
              <w:rPr>
                <w:rFonts w:ascii="Arial" w:hAnsi="Arial"/>
                <w:b/>
                <w:color w:val="183E6B"/>
                <w:sz w:val="16"/>
              </w:rPr>
              <w:t>Why manual-only</w:t>
            </w:r>
          </w:p>
        </w:tc>
        <w:tc>
          <w:tcPr>
            <w:tcW w:type="dxa" w:w="5270"/>
            <w:tcMar>
              <w:top w:w="70" w:type="dxa"/>
              <w:start w:w="80" w:type="dxa"/>
              <w:bottom w:w="70" w:type="dxa"/>
              <w:end w:w="80" w:type="dxa"/>
            </w:tcMar>
            <w:vAlign w:val="top"/>
          </w:tcPr>
          <w:p>
            <w:r>
              <w:rPr>
                <w:rFonts w:ascii="Arial" w:hAnsi="Arial"/>
                <w:b w:val="0"/>
                <w:sz w:val="16"/>
              </w:rPr>
              <w:t>Disposable worker logic is automatable, but the actual deployed scheduler/cron timing and real one-time delivery require the target environment.</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Preconditions</w:t>
            </w:r>
          </w:p>
        </w:tc>
        <w:tc>
          <w:tcPr>
            <w:tcW w:type="dxa" w:w="5270"/>
            <w:tcMar>
              <w:top w:w="70" w:type="dxa"/>
              <w:start w:w="80" w:type="dxa"/>
              <w:bottom w:w="70" w:type="dxa"/>
              <w:end w:w="80" w:type="dxa"/>
            </w:tcMar>
            <w:vAlign w:val="top"/>
          </w:tcPr>
          <w:p>
            <w:r>
              <w:rPr>
                <w:rFonts w:ascii="Arial" w:hAnsi="Arial"/>
                <w:b w:val="0"/>
                <w:sz w:val="16"/>
              </w:rPr>
              <w:t>Intended deployment; scheduler/cron or approved worker execution; controlled inbox; known timezone.</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Steps</w:t>
            </w:r>
          </w:p>
        </w:tc>
        <w:tc>
          <w:tcPr>
            <w:tcW w:type="dxa" w:w="5270"/>
            <w:tcMar>
              <w:top w:w="70" w:type="dxa"/>
              <w:start w:w="80" w:type="dxa"/>
              <w:bottom w:w="70" w:type="dxa"/>
              <w:end w:w="80" w:type="dxa"/>
            </w:tcMar>
            <w:vAlign w:val="top"/>
          </w:tcPr>
          <w:p>
            <w:pPr>
              <w:spacing w:after="10"/>
            </w:pPr>
            <w:r/>
            <w:r>
              <w:rPr>
                <w:rFonts w:ascii="Arial" w:hAnsi="Arial"/>
                <w:b w:val="0"/>
                <w:sz w:val="16"/>
              </w:rPr>
              <w:t>1. Schedule a unique notification several minutes in the future.</w:t>
            </w:r>
          </w:p>
          <w:p>
            <w:pPr>
              <w:spacing w:after="10"/>
            </w:pPr>
            <w:r>
              <w:rPr>
                <w:rFonts w:ascii="Arial" w:hAnsi="Arial"/>
                <w:b w:val="0"/>
                <w:sz w:val="16"/>
              </w:rPr>
              <w:t>2. Confirm no external email before the due time.</w:t>
            </w:r>
          </w:p>
          <w:p>
            <w:pPr>
              <w:spacing w:after="10"/>
            </w:pPr>
            <w:r>
              <w:rPr>
                <w:rFonts w:ascii="Arial" w:hAnsi="Arial"/>
                <w:b w:val="0"/>
                <w:sz w:val="16"/>
              </w:rPr>
              <w:t>3. Allow the deployed scheduler/worker to run after the due time.</w:t>
            </w:r>
          </w:p>
          <w:p>
            <w:pPr>
              <w:spacing w:after="10"/>
            </w:pPr>
            <w:r>
              <w:rPr>
                <w:rFonts w:ascii="Arial" w:hAnsi="Arial"/>
                <w:b w:val="0"/>
                <w:sz w:val="16"/>
              </w:rPr>
              <w:t>4. Confirm one real delivery.</w:t>
            </w:r>
          </w:p>
          <w:p>
            <w:pPr>
              <w:spacing w:after="10"/>
            </w:pPr>
            <w:r>
              <w:rPr>
                <w:rFonts w:ascii="Arial" w:hAnsi="Arial"/>
                <w:b w:val="0"/>
                <w:sz w:val="16"/>
              </w:rPr>
              <w:t>5. Allow another cycle and confirm no duplicate delivery.</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Expected result</w:t>
            </w:r>
          </w:p>
        </w:tc>
        <w:tc>
          <w:tcPr>
            <w:tcW w:type="dxa" w:w="5270"/>
            <w:tcMar>
              <w:top w:w="70" w:type="dxa"/>
              <w:start w:w="80" w:type="dxa"/>
              <w:bottom w:w="70" w:type="dxa"/>
              <w:end w:w="80" w:type="dxa"/>
            </w:tcMar>
            <w:vAlign w:val="top"/>
          </w:tcPr>
          <w:p>
            <w:r>
              <w:rPr>
                <w:rFonts w:ascii="Arial" w:hAnsi="Arial"/>
                <w:b w:val="0"/>
                <w:sz w:val="16"/>
              </w:rPr>
              <w:t>Scheduled state remains before due time; delivery occurs after due time exactly once; final stored state agrees with the observed delivery.</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Status</w:t>
            </w:r>
          </w:p>
        </w:tc>
        <w:tc>
          <w:tcPr>
            <w:tcW w:type="dxa" w:w="5270"/>
            <w:tcMar>
              <w:top w:w="70" w:type="dxa"/>
              <w:start w:w="80" w:type="dxa"/>
              <w:bottom w:w="70" w:type="dxa"/>
              <w:end w:w="80" w:type="dxa"/>
            </w:tcMar>
            <w:vAlign w:val="top"/>
          </w:tcPr>
          <w:p>
            <w:r>
              <w:rPr>
                <w:rFonts w:ascii="Arial" w:hAnsi="Arial"/>
                <w:b w:val="0"/>
                <w:sz w:val="16"/>
              </w:rPr>
              <w:t>Not Tested</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Evidence / Remarks</w:t>
            </w:r>
          </w:p>
        </w:tc>
        <w:tc>
          <w:tcPr>
            <w:tcW w:type="dxa" w:w="5270"/>
            <w:tcMar>
              <w:top w:w="70" w:type="dxa"/>
              <w:start w:w="80" w:type="dxa"/>
              <w:bottom w:w="70" w:type="dxa"/>
              <w:end w:w="80" w:type="dxa"/>
            </w:tcMar>
            <w:vAlign w:val="top"/>
          </w:tcPr>
          <w:p>
            <w:r>
              <w:rPr>
                <w:rFonts w:ascii="Arial" w:hAnsi="Arial"/>
                <w:b w:val="0"/>
                <w:sz w:val="16"/>
              </w:rPr>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Original coverage linked</w:t>
            </w:r>
          </w:p>
        </w:tc>
        <w:tc>
          <w:tcPr>
            <w:tcW w:type="dxa" w:w="5270"/>
            <w:tcMar>
              <w:top w:w="70" w:type="dxa"/>
              <w:start w:w="80" w:type="dxa"/>
              <w:bottom w:w="70" w:type="dxa"/>
              <w:end w:w="80" w:type="dxa"/>
            </w:tcMar>
            <w:vAlign w:val="top"/>
          </w:tcPr>
          <w:p>
            <w:r>
              <w:rPr>
                <w:rFonts w:ascii="Arial" w:hAnsi="Arial"/>
                <w:b w:val="0"/>
                <w:sz w:val="16"/>
              </w:rPr>
              <w:t>NOTIF-008 and NOTIF-010 deployment/external portion.</w:t>
            </w:r>
          </w:p>
        </w:tc>
      </w:tr>
    </w:tbl>
    <w:p>
      <w:pPr>
        <w:keepNext/>
        <w:spacing w:before="140" w:after="40"/>
      </w:pPr>
      <w:r>
        <w:rPr>
          <w:rFonts w:ascii="Arial" w:hAnsi="Arial"/>
          <w:b/>
          <w:color w:val="183E6B"/>
          <w:sz w:val="23"/>
        </w:rPr>
        <w:t>MAN-005 - IERB Follow-Up Email Delivery</w:t>
      </w:r>
    </w:p>
    <w:tbl>
      <w:tblPr>
        <w:tblStyle w:val="TableGrid"/>
        <w:tblW w:type="auto" w:w="0"/>
        <w:jc w:val="center"/>
        <w:tblLook w:firstColumn="1" w:firstRow="1" w:lastColumn="0" w:lastRow="0" w:noHBand="0" w:noVBand="1" w:val="04A0"/>
      </w:tblPr>
      <w:tblGrid>
        <w:gridCol w:w="5270"/>
        <w:gridCol w:w="5270"/>
      </w:tblGrid>
      <w:tr>
        <w:trPr>
          <w:cantSplit/>
        </w:trPr>
        <w:tc>
          <w:tcPr>
            <w:tcW w:type="dxa" w:w="5270"/>
            <w:shd w:fill="EAF0F7"/>
            <w:tcMar>
              <w:top w:w="70" w:type="dxa"/>
              <w:start w:w="80" w:type="dxa"/>
              <w:bottom w:w="70" w:type="dxa"/>
              <w:end w:w="80" w:type="dxa"/>
            </w:tcMar>
            <w:vAlign w:val="top"/>
          </w:tcPr>
          <w:p>
            <w:r>
              <w:rPr>
                <w:rFonts w:ascii="Arial" w:hAnsi="Arial"/>
                <w:b/>
                <w:color w:val="183E6B"/>
                <w:sz w:val="16"/>
              </w:rPr>
              <w:t>Why manual-only</w:t>
            </w:r>
          </w:p>
        </w:tc>
        <w:tc>
          <w:tcPr>
            <w:tcW w:type="dxa" w:w="5270"/>
            <w:tcMar>
              <w:top w:w="70" w:type="dxa"/>
              <w:start w:w="80" w:type="dxa"/>
              <w:bottom w:w="70" w:type="dxa"/>
              <w:end w:w="80" w:type="dxa"/>
            </w:tcMar>
            <w:vAlign w:val="top"/>
          </w:tcPr>
          <w:p>
            <w:r>
              <w:rPr>
                <w:rFonts w:ascii="Arial" w:hAnsi="Arial"/>
                <w:b w:val="0"/>
                <w:sz w:val="16"/>
              </w:rPr>
              <w:t>Endpoint/scoping can be automated; real external delivery still requires inbox observation.</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Preconditions</w:t>
            </w:r>
          </w:p>
        </w:tc>
        <w:tc>
          <w:tcPr>
            <w:tcW w:type="dxa" w:w="5270"/>
            <w:tcMar>
              <w:top w:w="70" w:type="dxa"/>
              <w:start w:w="80" w:type="dxa"/>
              <w:bottom w:w="70" w:type="dxa"/>
              <w:end w:w="80" w:type="dxa"/>
            </w:tcMar>
            <w:vAlign w:val="top"/>
          </w:tcPr>
          <w:p>
            <w:r>
              <w:rPr>
                <w:rFonts w:ascii="Arial" w:hAnsi="Arial"/>
                <w:b w:val="0"/>
                <w:sz w:val="16"/>
              </w:rPr>
              <w:t>Existing in-scope student; assigned adviser/admin access; controlled student inbox; mail enabled.</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Steps</w:t>
            </w:r>
          </w:p>
        </w:tc>
        <w:tc>
          <w:tcPr>
            <w:tcW w:type="dxa" w:w="5270"/>
            <w:tcMar>
              <w:top w:w="70" w:type="dxa"/>
              <w:start w:w="80" w:type="dxa"/>
              <w:bottom w:w="70" w:type="dxa"/>
              <w:end w:w="80" w:type="dxa"/>
            </w:tcMar>
            <w:vAlign w:val="top"/>
          </w:tcPr>
          <w:p>
            <w:pPr>
              <w:spacing w:after="10"/>
            </w:pPr>
            <w:r/>
            <w:r>
              <w:rPr>
                <w:rFonts w:ascii="Arial" w:hAnsi="Arial"/>
                <w:b w:val="0"/>
                <w:sz w:val="16"/>
              </w:rPr>
              <w:t>1. Send a standard IERB follow-up from the normal UI.</w:t>
            </w:r>
          </w:p>
          <w:p>
            <w:pPr>
              <w:spacing w:after="10"/>
            </w:pPr>
            <w:r>
              <w:rPr>
                <w:rFonts w:ascii="Arial" w:hAnsi="Arial"/>
                <w:b w:val="0"/>
                <w:sz w:val="16"/>
              </w:rPr>
              <w:t>2. Inspect the controlled student inbox.</w:t>
            </w:r>
          </w:p>
          <w:p>
            <w:pPr>
              <w:spacing w:after="10"/>
            </w:pPr>
            <w:r>
              <w:rPr>
                <w:rFonts w:ascii="Arial" w:hAnsi="Arial"/>
                <w:b w:val="0"/>
                <w:sz w:val="16"/>
              </w:rPr>
              <w:t>3. Verify the message corresponds to the intended student/action.</w:t>
            </w:r>
          </w:p>
          <w:p>
            <w:pPr>
              <w:spacing w:after="10"/>
            </w:pPr>
            <w:r>
              <w:rPr>
                <w:rFonts w:ascii="Arial" w:hAnsi="Arial"/>
                <w:b w:val="0"/>
                <w:sz w:val="16"/>
              </w:rPr>
              <w:t>4. Confirm an unrelated controlled student does not receive it.</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Expected result</w:t>
            </w:r>
          </w:p>
        </w:tc>
        <w:tc>
          <w:tcPr>
            <w:tcW w:type="dxa" w:w="5270"/>
            <w:tcMar>
              <w:top w:w="70" w:type="dxa"/>
              <w:start w:w="80" w:type="dxa"/>
              <w:bottom w:w="70" w:type="dxa"/>
              <w:end w:w="80" w:type="dxa"/>
            </w:tcMar>
            <w:vAlign w:val="top"/>
          </w:tcPr>
          <w:p>
            <w:r>
              <w:rPr>
                <w:rFonts w:ascii="Arial" w:hAnsi="Arial"/>
                <w:b w:val="0"/>
                <w:sz w:val="16"/>
              </w:rPr>
              <w:t>The intended student receives the follow-up once, the message is understandable, and PRISM delivery state agrees with observation.</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Status</w:t>
            </w:r>
          </w:p>
        </w:tc>
        <w:tc>
          <w:tcPr>
            <w:tcW w:type="dxa" w:w="5270"/>
            <w:tcMar>
              <w:top w:w="70" w:type="dxa"/>
              <w:start w:w="80" w:type="dxa"/>
              <w:bottom w:w="70" w:type="dxa"/>
              <w:end w:w="80" w:type="dxa"/>
            </w:tcMar>
            <w:vAlign w:val="top"/>
          </w:tcPr>
          <w:p>
            <w:r>
              <w:rPr>
                <w:rFonts w:ascii="Arial" w:hAnsi="Arial"/>
                <w:b w:val="0"/>
                <w:sz w:val="16"/>
              </w:rPr>
              <w:t>Not Tested</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Evidence / Remarks</w:t>
            </w:r>
          </w:p>
        </w:tc>
        <w:tc>
          <w:tcPr>
            <w:tcW w:type="dxa" w:w="5270"/>
            <w:tcMar>
              <w:top w:w="70" w:type="dxa"/>
              <w:start w:w="80" w:type="dxa"/>
              <w:bottom w:w="70" w:type="dxa"/>
              <w:end w:w="80" w:type="dxa"/>
            </w:tcMar>
            <w:vAlign w:val="top"/>
          </w:tcPr>
          <w:p>
            <w:r>
              <w:rPr>
                <w:rFonts w:ascii="Arial" w:hAnsi="Arial"/>
                <w:b w:val="0"/>
                <w:sz w:val="16"/>
              </w:rPr>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Original coverage linked</w:t>
            </w:r>
          </w:p>
        </w:tc>
        <w:tc>
          <w:tcPr>
            <w:tcW w:type="dxa" w:w="5270"/>
            <w:tcMar>
              <w:top w:w="70" w:type="dxa"/>
              <w:start w:w="80" w:type="dxa"/>
              <w:bottom w:w="70" w:type="dxa"/>
              <w:end w:w="80" w:type="dxa"/>
            </w:tcMar>
            <w:vAlign w:val="top"/>
          </w:tcPr>
          <w:p>
            <w:r>
              <w:rPr>
                <w:rFonts w:ascii="Arial" w:hAnsi="Arial"/>
                <w:b w:val="0"/>
                <w:sz w:val="16"/>
              </w:rPr>
              <w:t>IERB-012 external-delivery portion.</w:t>
            </w:r>
          </w:p>
        </w:tc>
      </w:tr>
    </w:tbl>
    <w:p>
      <w:pPr>
        <w:keepNext/>
        <w:spacing w:before="140" w:after="40"/>
      </w:pPr>
      <w:r>
        <w:rPr>
          <w:rFonts w:ascii="Arial" w:hAnsi="Arial"/>
          <w:b/>
          <w:color w:val="183E6B"/>
          <w:sz w:val="23"/>
        </w:rPr>
        <w:t>MAN-006 - Live AI Report Quality and PDF Human Review</w:t>
      </w:r>
    </w:p>
    <w:tbl>
      <w:tblPr>
        <w:tblStyle w:val="TableGrid"/>
        <w:tblW w:type="auto" w:w="0"/>
        <w:jc w:val="center"/>
        <w:tblLook w:firstColumn="1" w:firstRow="1" w:lastColumn="0" w:lastRow="0" w:noHBand="0" w:noVBand="1" w:val="04A0"/>
      </w:tblPr>
      <w:tblGrid>
        <w:gridCol w:w="5270"/>
        <w:gridCol w:w="5270"/>
      </w:tblGrid>
      <w:tr>
        <w:trPr>
          <w:cantSplit/>
        </w:trPr>
        <w:tc>
          <w:tcPr>
            <w:tcW w:type="dxa" w:w="5270"/>
            <w:shd w:fill="EAF0F7"/>
            <w:tcMar>
              <w:top w:w="70" w:type="dxa"/>
              <w:start w:w="80" w:type="dxa"/>
              <w:bottom w:w="70" w:type="dxa"/>
              <w:end w:w="80" w:type="dxa"/>
            </w:tcMar>
            <w:vAlign w:val="top"/>
          </w:tcPr>
          <w:p>
            <w:r>
              <w:rPr>
                <w:rFonts w:ascii="Arial" w:hAnsi="Arial"/>
                <w:b/>
                <w:color w:val="183E6B"/>
                <w:sz w:val="16"/>
              </w:rPr>
              <w:t>Why manual-only</w:t>
            </w:r>
          </w:p>
        </w:tc>
        <w:tc>
          <w:tcPr>
            <w:tcW w:type="dxa" w:w="5270"/>
            <w:tcMar>
              <w:top w:w="70" w:type="dxa"/>
              <w:start w:w="80" w:type="dxa"/>
              <w:bottom w:w="70" w:type="dxa"/>
              <w:end w:w="80" w:type="dxa"/>
            </w:tcMar>
            <w:vAlign w:val="top"/>
          </w:tcPr>
          <w:p>
            <w:r>
              <w:rPr>
                <w:rFonts w:ascii="Arial" w:hAnsi="Arial"/>
                <w:b w:val="0"/>
                <w:sz w:val="16"/>
              </w:rPr>
              <w:t>Automation can verify plumbing/scope/PDF generation, but a human must judge fidelity, usefulness and hallucination risk of live AI output.</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Preconditions</w:t>
            </w:r>
          </w:p>
        </w:tc>
        <w:tc>
          <w:tcPr>
            <w:tcW w:type="dxa" w:w="5270"/>
            <w:tcMar>
              <w:top w:w="70" w:type="dxa"/>
              <w:start w:w="80" w:type="dxa"/>
              <w:bottom w:w="70" w:type="dxa"/>
              <w:end w:w="80" w:type="dxa"/>
            </w:tcMar>
            <w:vAlign w:val="top"/>
          </w:tcPr>
          <w:p>
            <w:r>
              <w:rPr>
                <w:rFonts w:ascii="Arial" w:hAnsi="Arial"/>
                <w:b w:val="0"/>
                <w:sz w:val="16"/>
              </w:rPr>
              <w:t>Approved live AI configuration; representative non-sensitive data; admin/adviser scoped datasets.</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Steps</w:t>
            </w:r>
          </w:p>
        </w:tc>
        <w:tc>
          <w:tcPr>
            <w:tcW w:type="dxa" w:w="5270"/>
            <w:tcMar>
              <w:top w:w="70" w:type="dxa"/>
              <w:start w:w="80" w:type="dxa"/>
              <w:bottom w:w="70" w:type="dxa"/>
              <w:end w:w="80" w:type="dxa"/>
            </w:tcMar>
            <w:vAlign w:val="top"/>
          </w:tcPr>
          <w:p>
            <w:pPr>
              <w:spacing w:after="10"/>
            </w:pPr>
            <w:r/>
            <w:r>
              <w:rPr>
                <w:rFonts w:ascii="Arial" w:hAnsi="Arial"/>
                <w:b w:val="0"/>
                <w:sz w:val="16"/>
              </w:rPr>
              <w:t>1. Generate one summarized live-AI report.</w:t>
            </w:r>
          </w:p>
          <w:p>
            <w:pPr>
              <w:spacing w:after="10"/>
            </w:pPr>
            <w:r>
              <w:rPr>
                <w:rFonts w:ascii="Arial" w:hAnsi="Arial"/>
                <w:b w:val="0"/>
                <w:sz w:val="16"/>
              </w:rPr>
              <w:t>2. Generate one full live-AI report.</w:t>
            </w:r>
          </w:p>
          <w:p>
            <w:pPr>
              <w:spacing w:after="10"/>
            </w:pPr>
            <w:r>
              <w:rPr>
                <w:rFonts w:ascii="Arial" w:hAnsi="Arial"/>
                <w:b w:val="0"/>
                <w:sz w:val="16"/>
              </w:rPr>
              <w:t>3. Compare both PDFs with known fixture records.</w:t>
            </w:r>
          </w:p>
          <w:p>
            <w:pPr>
              <w:spacing w:after="10"/>
            </w:pPr>
            <w:r>
              <w:rPr>
                <w:rFonts w:ascii="Arial" w:hAnsi="Arial"/>
                <w:b w:val="0"/>
                <w:sz w:val="16"/>
              </w:rPr>
              <w:t>4. Review readability, section order, names/stages/statuses, scope, and AI disclosure.</w:t>
            </w:r>
          </w:p>
          <w:p>
            <w:pPr>
              <w:spacing w:after="10"/>
            </w:pPr>
            <w:r>
              <w:rPr>
                <w:rFonts w:ascii="Arial" w:hAnsi="Arial"/>
                <w:b w:val="0"/>
                <w:sz w:val="16"/>
              </w:rPr>
              <w:t>5. Record any fabricated, unsupported, misleading or materially omitted statement.</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Expected result</w:t>
            </w:r>
          </w:p>
        </w:tc>
        <w:tc>
          <w:tcPr>
            <w:tcW w:type="dxa" w:w="5270"/>
            <w:tcMar>
              <w:top w:w="70" w:type="dxa"/>
              <w:start w:w="80" w:type="dxa"/>
              <w:bottom w:w="70" w:type="dxa"/>
              <w:end w:w="80" w:type="dxa"/>
            </w:tcMar>
            <w:vAlign w:val="top"/>
          </w:tcPr>
          <w:p>
            <w:r>
              <w:rPr>
                <w:rFonts w:ascii="Arial" w:hAnsi="Arial"/>
                <w:b w:val="0"/>
                <w:sz w:val="16"/>
              </w:rPr>
              <w:t>Reports remain in scope, faithfully reflect source data, are readable, disclose AI assistance as applicable, and contain no material invented facts. If live AI is unavailable, mark Blocked.</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Status</w:t>
            </w:r>
          </w:p>
        </w:tc>
        <w:tc>
          <w:tcPr>
            <w:tcW w:type="dxa" w:w="5270"/>
            <w:tcMar>
              <w:top w:w="70" w:type="dxa"/>
              <w:start w:w="80" w:type="dxa"/>
              <w:bottom w:w="70" w:type="dxa"/>
              <w:end w:w="80" w:type="dxa"/>
            </w:tcMar>
            <w:vAlign w:val="top"/>
          </w:tcPr>
          <w:p>
            <w:r>
              <w:rPr>
                <w:rFonts w:ascii="Arial" w:hAnsi="Arial"/>
                <w:b w:val="0"/>
                <w:sz w:val="16"/>
              </w:rPr>
              <w:t>Not Tested</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Evidence / Remarks</w:t>
            </w:r>
          </w:p>
        </w:tc>
        <w:tc>
          <w:tcPr>
            <w:tcW w:type="dxa" w:w="5270"/>
            <w:tcMar>
              <w:top w:w="70" w:type="dxa"/>
              <w:start w:w="80" w:type="dxa"/>
              <w:bottom w:w="70" w:type="dxa"/>
              <w:end w:w="80" w:type="dxa"/>
            </w:tcMar>
            <w:vAlign w:val="top"/>
          </w:tcPr>
          <w:p>
            <w:r>
              <w:rPr>
                <w:rFonts w:ascii="Arial" w:hAnsi="Arial"/>
                <w:b w:val="0"/>
                <w:sz w:val="16"/>
              </w:rPr>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Original coverage linked</w:t>
            </w:r>
          </w:p>
        </w:tc>
        <w:tc>
          <w:tcPr>
            <w:tcW w:type="dxa" w:w="5270"/>
            <w:tcMar>
              <w:top w:w="70" w:type="dxa"/>
              <w:start w:w="80" w:type="dxa"/>
              <w:bottom w:w="70" w:type="dxa"/>
              <w:end w:w="80" w:type="dxa"/>
            </w:tcMar>
            <w:vAlign w:val="top"/>
          </w:tcPr>
          <w:p>
            <w:r>
              <w:rPr>
                <w:rFonts w:ascii="Arial" w:hAnsi="Arial"/>
                <w:b w:val="0"/>
                <w:sz w:val="16"/>
              </w:rPr>
              <w:t>REP-005 and REP-006 live-AI/human-quality portion.</w:t>
            </w:r>
          </w:p>
        </w:tc>
      </w:tr>
    </w:tbl>
    <w:p>
      <w:pPr>
        <w:keepNext/>
        <w:spacing w:before="140" w:after="40"/>
      </w:pPr>
      <w:r>
        <w:rPr>
          <w:rFonts w:ascii="Arial" w:hAnsi="Arial"/>
          <w:b/>
          <w:color w:val="183E6B"/>
          <w:sz w:val="23"/>
        </w:rPr>
        <w:t>MAN-007 - Responsive Visual Acceptance Across Key Role Pages</w:t>
      </w:r>
    </w:p>
    <w:tbl>
      <w:tblPr>
        <w:tblStyle w:val="TableGrid"/>
        <w:tblW w:type="auto" w:w="0"/>
        <w:jc w:val="center"/>
        <w:tblLook w:firstColumn="1" w:firstRow="1" w:lastColumn="0" w:lastRow="0" w:noHBand="0" w:noVBand="1" w:val="04A0"/>
      </w:tblPr>
      <w:tblGrid>
        <w:gridCol w:w="5270"/>
        <w:gridCol w:w="5270"/>
      </w:tblGrid>
      <w:tr>
        <w:trPr>
          <w:cantSplit/>
        </w:trPr>
        <w:tc>
          <w:tcPr>
            <w:tcW w:type="dxa" w:w="5270"/>
            <w:shd w:fill="EAF0F7"/>
            <w:tcMar>
              <w:top w:w="70" w:type="dxa"/>
              <w:start w:w="80" w:type="dxa"/>
              <w:bottom w:w="70" w:type="dxa"/>
              <w:end w:w="80" w:type="dxa"/>
            </w:tcMar>
            <w:vAlign w:val="top"/>
          </w:tcPr>
          <w:p>
            <w:r>
              <w:rPr>
                <w:rFonts w:ascii="Arial" w:hAnsi="Arial"/>
                <w:b/>
                <w:color w:val="183E6B"/>
                <w:sz w:val="16"/>
              </w:rPr>
              <w:t>Why manual-only</w:t>
            </w:r>
          </w:p>
        </w:tc>
        <w:tc>
          <w:tcPr>
            <w:tcW w:type="dxa" w:w="5270"/>
            <w:tcMar>
              <w:top w:w="70" w:type="dxa"/>
              <w:start w:w="80" w:type="dxa"/>
              <w:bottom w:w="70" w:type="dxa"/>
              <w:end w:w="80" w:type="dxa"/>
            </w:tcMar>
            <w:vAlign w:val="top"/>
          </w:tcPr>
          <w:p>
            <w:r>
              <w:rPr>
                <w:rFonts w:ascii="Arial" w:hAnsi="Arial"/>
                <w:b w:val="0"/>
                <w:sz w:val="16"/>
              </w:rPr>
              <w:t>Automated UI gates catch many regressions, but final readability, hierarchy and visual usability remain human acceptance judgments.</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Preconditions</w:t>
            </w:r>
          </w:p>
        </w:tc>
        <w:tc>
          <w:tcPr>
            <w:tcW w:type="dxa" w:w="5270"/>
            <w:tcMar>
              <w:top w:w="70" w:type="dxa"/>
              <w:start w:w="80" w:type="dxa"/>
              <w:bottom w:w="70" w:type="dxa"/>
              <w:end w:w="80" w:type="dxa"/>
            </w:tcMar>
            <w:vAlign w:val="top"/>
          </w:tcPr>
          <w:p>
            <w:r>
              <w:rPr>
                <w:rFonts w:ascii="Arial" w:hAnsi="Arial"/>
                <w:b w:val="0"/>
                <w:sz w:val="16"/>
              </w:rPr>
              <w:t>Representative populated data; Chrome/Edge; about 375/768/1280 px; light/dark themes where supported.</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Steps</w:t>
            </w:r>
          </w:p>
        </w:tc>
        <w:tc>
          <w:tcPr>
            <w:tcW w:type="dxa" w:w="5270"/>
            <w:tcMar>
              <w:top w:w="70" w:type="dxa"/>
              <w:start w:w="80" w:type="dxa"/>
              <w:bottom w:w="70" w:type="dxa"/>
              <w:end w:w="80" w:type="dxa"/>
            </w:tcMar>
            <w:vAlign w:val="top"/>
          </w:tcPr>
          <w:p>
            <w:pPr>
              <w:spacing w:after="10"/>
            </w:pPr>
            <w:r/>
            <w:r>
              <w:rPr>
                <w:rFonts w:ascii="Arial" w:hAnsi="Arial"/>
                <w:b w:val="0"/>
                <w:sz w:val="16"/>
              </w:rPr>
              <w:t>1. Inspect login, admin dashboard, Student Management, IERB Progress, Notification Center, adviser workspace, student portal, Account and report/history pages.</w:t>
            </w:r>
          </w:p>
          <w:p>
            <w:pPr>
              <w:spacing w:after="10"/>
            </w:pPr>
            <w:r>
              <w:rPr>
                <w:rFonts w:ascii="Arial" w:hAnsi="Arial"/>
                <w:b w:val="0"/>
                <w:sz w:val="16"/>
              </w:rPr>
              <w:t>2. Open representative modals/tables/cards with long realistic labels/messages/filenames.</w:t>
            </w:r>
          </w:p>
          <w:p>
            <w:pPr>
              <w:spacing w:after="10"/>
            </w:pPr>
            <w:r>
              <w:rPr>
                <w:rFonts w:ascii="Arial" w:hAnsi="Arial"/>
                <w:b w:val="0"/>
                <w:sz w:val="16"/>
              </w:rPr>
              <w:t>3. Switch themes where supported.</w:t>
            </w:r>
          </w:p>
          <w:p>
            <w:pPr>
              <w:spacing w:after="10"/>
            </w:pPr>
            <w:r>
              <w:rPr>
                <w:rFonts w:ascii="Arial" w:hAnsi="Arial"/>
                <w:b w:val="0"/>
                <w:sz w:val="16"/>
              </w:rPr>
              <w:t>4. Record overlap, clipping, unreadable wrapping, off-screen controls or unusable scrolling.</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Expected result</w:t>
            </w:r>
          </w:p>
        </w:tc>
        <w:tc>
          <w:tcPr>
            <w:tcW w:type="dxa" w:w="5270"/>
            <w:tcMar>
              <w:top w:w="70" w:type="dxa"/>
              <w:start w:w="80" w:type="dxa"/>
              <w:bottom w:w="70" w:type="dxa"/>
              <w:end w:w="80" w:type="dxa"/>
            </w:tcMar>
            <w:vAlign w:val="top"/>
          </w:tcPr>
          <w:p>
            <w:r>
              <w:rPr>
                <w:rFonts w:ascii="Arial" w:hAnsi="Arial"/>
                <w:b w:val="0"/>
                <w:sz w:val="16"/>
              </w:rPr>
              <w:t>Meaningful content remains readable and controls usable; no important overlap/clipping; long values wrap acceptably; key actions remain understandable.</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Status</w:t>
            </w:r>
          </w:p>
        </w:tc>
        <w:tc>
          <w:tcPr>
            <w:tcW w:type="dxa" w:w="5270"/>
            <w:tcMar>
              <w:top w:w="70" w:type="dxa"/>
              <w:start w:w="80" w:type="dxa"/>
              <w:bottom w:w="70" w:type="dxa"/>
              <w:end w:w="80" w:type="dxa"/>
            </w:tcMar>
            <w:vAlign w:val="top"/>
          </w:tcPr>
          <w:p>
            <w:r>
              <w:rPr>
                <w:rFonts w:ascii="Arial" w:hAnsi="Arial"/>
                <w:b w:val="0"/>
                <w:sz w:val="16"/>
              </w:rPr>
              <w:t>Not Tested</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Evidence / Remarks</w:t>
            </w:r>
          </w:p>
        </w:tc>
        <w:tc>
          <w:tcPr>
            <w:tcW w:type="dxa" w:w="5270"/>
            <w:tcMar>
              <w:top w:w="70" w:type="dxa"/>
              <w:start w:w="80" w:type="dxa"/>
              <w:bottom w:w="70" w:type="dxa"/>
              <w:end w:w="80" w:type="dxa"/>
            </w:tcMar>
            <w:vAlign w:val="top"/>
          </w:tcPr>
          <w:p>
            <w:r>
              <w:rPr>
                <w:rFonts w:ascii="Arial" w:hAnsi="Arial"/>
                <w:b w:val="0"/>
                <w:sz w:val="16"/>
              </w:rPr>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Original coverage linked</w:t>
            </w:r>
          </w:p>
        </w:tc>
        <w:tc>
          <w:tcPr>
            <w:tcW w:type="dxa" w:w="5270"/>
            <w:tcMar>
              <w:top w:w="70" w:type="dxa"/>
              <w:start w:w="80" w:type="dxa"/>
              <w:bottom w:w="70" w:type="dxa"/>
              <w:end w:w="80" w:type="dxa"/>
            </w:tcMar>
            <w:vAlign w:val="top"/>
          </w:tcPr>
          <w:p>
            <w:r>
              <w:rPr>
                <w:rFonts w:ascii="Arial" w:hAnsi="Arial"/>
                <w:b w:val="0"/>
                <w:sz w:val="16"/>
              </w:rPr>
              <w:t>IERB-010, NOTIF-013, REP-012, LOG-004, ACA-028 visual portion, SEC-014 visual portion.</w:t>
            </w:r>
          </w:p>
        </w:tc>
      </w:tr>
    </w:tbl>
    <w:p>
      <w:pPr>
        <w:keepNext/>
        <w:spacing w:before="140" w:after="40"/>
      </w:pPr>
      <w:r>
        <w:rPr>
          <w:rFonts w:ascii="Arial" w:hAnsi="Arial"/>
          <w:b/>
          <w:color w:val="183E6B"/>
          <w:sz w:val="23"/>
        </w:rPr>
        <w:t>MAN-008 - Keyboard, Focus, and Accessibility Acceptance</w:t>
      </w:r>
    </w:p>
    <w:tbl>
      <w:tblPr>
        <w:tblStyle w:val="TableGrid"/>
        <w:tblW w:type="auto" w:w="0"/>
        <w:jc w:val="center"/>
        <w:tblLook w:firstColumn="1" w:firstRow="1" w:lastColumn="0" w:lastRow="0" w:noHBand="0" w:noVBand="1" w:val="04A0"/>
      </w:tblPr>
      <w:tblGrid>
        <w:gridCol w:w="5270"/>
        <w:gridCol w:w="5270"/>
      </w:tblGrid>
      <w:tr>
        <w:trPr>
          <w:cantSplit/>
        </w:trPr>
        <w:tc>
          <w:tcPr>
            <w:tcW w:type="dxa" w:w="5270"/>
            <w:shd w:fill="EAF0F7"/>
            <w:tcMar>
              <w:top w:w="70" w:type="dxa"/>
              <w:start w:w="80" w:type="dxa"/>
              <w:bottom w:w="70" w:type="dxa"/>
              <w:end w:w="80" w:type="dxa"/>
            </w:tcMar>
            <w:vAlign w:val="top"/>
          </w:tcPr>
          <w:p>
            <w:r>
              <w:rPr>
                <w:rFonts w:ascii="Arial" w:hAnsi="Arial"/>
                <w:b/>
                <w:color w:val="183E6B"/>
                <w:sz w:val="16"/>
              </w:rPr>
              <w:t>Why manual-only</w:t>
            </w:r>
          </w:p>
        </w:tc>
        <w:tc>
          <w:tcPr>
            <w:tcW w:type="dxa" w:w="5270"/>
            <w:tcMar>
              <w:top w:w="70" w:type="dxa"/>
              <w:start w:w="80" w:type="dxa"/>
              <w:bottom w:w="70" w:type="dxa"/>
              <w:end w:w="80" w:type="dxa"/>
            </w:tcMar>
            <w:vAlign w:val="top"/>
          </w:tcPr>
          <w:p>
            <w:r>
              <w:rPr>
                <w:rFonts w:ascii="Arial" w:hAnsi="Arial"/>
                <w:b w:val="0"/>
                <w:sz w:val="16"/>
              </w:rPr>
              <w:t>Static/a11y tooling can inspect code, but a keyboard-only human pass is needed for practical focus order, visibility and modal/navigation comprehension.</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Preconditions</w:t>
            </w:r>
          </w:p>
        </w:tc>
        <w:tc>
          <w:tcPr>
            <w:tcW w:type="dxa" w:w="5270"/>
            <w:tcMar>
              <w:top w:w="70" w:type="dxa"/>
              <w:start w:w="80" w:type="dxa"/>
              <w:bottom w:w="70" w:type="dxa"/>
              <w:end w:w="80" w:type="dxa"/>
            </w:tcMar>
            <w:vAlign w:val="top"/>
          </w:tcPr>
          <w:p>
            <w:r>
              <w:rPr>
                <w:rFonts w:ascii="Arial" w:hAnsi="Arial"/>
                <w:b w:val="0"/>
                <w:sz w:val="16"/>
              </w:rPr>
              <w:t>Desktop browser; no mouse during case; representative admin/adviser pages and edit modal.</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Steps</w:t>
            </w:r>
          </w:p>
        </w:tc>
        <w:tc>
          <w:tcPr>
            <w:tcW w:type="dxa" w:w="5270"/>
            <w:tcMar>
              <w:top w:w="70" w:type="dxa"/>
              <w:start w:w="80" w:type="dxa"/>
              <w:bottom w:w="70" w:type="dxa"/>
              <w:end w:w="80" w:type="dxa"/>
            </w:tcMar>
            <w:vAlign w:val="top"/>
          </w:tcPr>
          <w:p>
            <w:pPr>
              <w:spacing w:after="10"/>
            </w:pPr>
            <w:r/>
            <w:r>
              <w:rPr>
                <w:rFonts w:ascii="Arial" w:hAnsi="Arial"/>
                <w:b w:val="0"/>
                <w:sz w:val="16"/>
              </w:rPr>
              <w:t>1. Navigate primary/nested navigation with Tab/Shift+Tab and Enter/Space.</w:t>
            </w:r>
          </w:p>
          <w:p>
            <w:pPr>
              <w:spacing w:after="10"/>
            </w:pPr>
            <w:r>
              <w:rPr>
                <w:rFonts w:ascii="Arial" w:hAnsi="Arial"/>
                <w:b w:val="0"/>
                <w:sz w:val="16"/>
              </w:rPr>
              <w:t>2. Open/close representative modals using the keyboard, including Escape where implemented.</w:t>
            </w:r>
          </w:p>
          <w:p>
            <w:pPr>
              <w:spacing w:after="10"/>
            </w:pPr>
            <w:r>
              <w:rPr>
                <w:rFonts w:ascii="Arial" w:hAnsi="Arial"/>
                <w:b w:val="0"/>
                <w:sz w:val="16"/>
              </w:rPr>
              <w:t>3. Verify focus visibility and sensible return focus after close/save.</w:t>
            </w:r>
          </w:p>
          <w:p>
            <w:pPr>
              <w:spacing w:after="10"/>
            </w:pPr>
            <w:r>
              <w:rPr>
                <w:rFonts w:ascii="Arial" w:hAnsi="Arial"/>
                <w:b w:val="0"/>
                <w:sz w:val="16"/>
              </w:rPr>
              <w:t>4. Confirm collapsed/hidden content is not accidentally focusable.</w:t>
            </w:r>
          </w:p>
          <w:p>
            <w:pPr>
              <w:spacing w:after="10"/>
            </w:pPr>
            <w:r>
              <w:rPr>
                <w:rFonts w:ascii="Arial" w:hAnsi="Arial"/>
                <w:b w:val="0"/>
                <w:sz w:val="16"/>
              </w:rPr>
              <w:t>5. Check labels/errors are understandable without relying only on color.</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Expected result</w:t>
            </w:r>
          </w:p>
        </w:tc>
        <w:tc>
          <w:tcPr>
            <w:tcW w:type="dxa" w:w="5270"/>
            <w:tcMar>
              <w:top w:w="70" w:type="dxa"/>
              <w:start w:w="80" w:type="dxa"/>
              <w:bottom w:w="70" w:type="dxa"/>
              <w:end w:w="80" w:type="dxa"/>
            </w:tcMar>
            <w:vAlign w:val="top"/>
          </w:tcPr>
          <w:p>
            <w:r>
              <w:rPr>
                <w:rFonts w:ascii="Arial" w:hAnsi="Arial"/>
                <w:b w:val="0"/>
                <w:sz w:val="16"/>
              </w:rPr>
              <w:t>Core workflows are operable without a mouse; focus is sensible/visible; modals do not strand focus; hidden content is not focusable; labels/errors are understandable.</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Status</w:t>
            </w:r>
          </w:p>
        </w:tc>
        <w:tc>
          <w:tcPr>
            <w:tcW w:type="dxa" w:w="5270"/>
            <w:tcMar>
              <w:top w:w="70" w:type="dxa"/>
              <w:start w:w="80" w:type="dxa"/>
              <w:bottom w:w="70" w:type="dxa"/>
              <w:end w:w="80" w:type="dxa"/>
            </w:tcMar>
            <w:vAlign w:val="top"/>
          </w:tcPr>
          <w:p>
            <w:r>
              <w:rPr>
                <w:rFonts w:ascii="Arial" w:hAnsi="Arial"/>
                <w:b w:val="0"/>
                <w:sz w:val="16"/>
              </w:rPr>
              <w:t>Not Tested</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Evidence / Remarks</w:t>
            </w:r>
          </w:p>
        </w:tc>
        <w:tc>
          <w:tcPr>
            <w:tcW w:type="dxa" w:w="5270"/>
            <w:tcMar>
              <w:top w:w="70" w:type="dxa"/>
              <w:start w:w="80" w:type="dxa"/>
              <w:bottom w:w="70" w:type="dxa"/>
              <w:end w:w="80" w:type="dxa"/>
            </w:tcMar>
            <w:vAlign w:val="top"/>
          </w:tcPr>
          <w:p>
            <w:r>
              <w:rPr>
                <w:rFonts w:ascii="Arial" w:hAnsi="Arial"/>
                <w:b w:val="0"/>
                <w:sz w:val="16"/>
              </w:rPr>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Original coverage linked</w:t>
            </w:r>
          </w:p>
        </w:tc>
        <w:tc>
          <w:tcPr>
            <w:tcW w:type="dxa" w:w="5270"/>
            <w:tcMar>
              <w:top w:w="70" w:type="dxa"/>
              <w:start w:w="80" w:type="dxa"/>
              <w:bottom w:w="70" w:type="dxa"/>
              <w:end w:w="80" w:type="dxa"/>
            </w:tcMar>
            <w:vAlign w:val="top"/>
          </w:tcPr>
          <w:p>
            <w:r>
              <w:rPr>
                <w:rFonts w:ascii="Arial" w:hAnsi="Arial"/>
                <w:b w:val="0"/>
                <w:sz w:val="16"/>
              </w:rPr>
              <w:t>ACA-028 keyboard portion, LOG-004, SEC-014.</w:t>
            </w:r>
          </w:p>
        </w:tc>
      </w:tr>
    </w:tbl>
    <w:p>
      <w:pPr>
        <w:keepNext/>
        <w:spacing w:before="140" w:after="40"/>
      </w:pPr>
      <w:r>
        <w:rPr>
          <w:rFonts w:ascii="Arial" w:hAnsi="Arial"/>
          <w:b/>
          <w:color w:val="183E6B"/>
          <w:sz w:val="23"/>
        </w:rPr>
        <w:t>MAN-009 - Human End-to-End Workflow Comprehension</w:t>
      </w:r>
    </w:p>
    <w:tbl>
      <w:tblPr>
        <w:tblStyle w:val="TableGrid"/>
        <w:tblW w:type="auto" w:w="0"/>
        <w:jc w:val="center"/>
        <w:tblLook w:firstColumn="1" w:firstRow="1" w:lastColumn="0" w:lastRow="0" w:noHBand="0" w:noVBand="1" w:val="04A0"/>
      </w:tblPr>
      <w:tblGrid>
        <w:gridCol w:w="5270"/>
        <w:gridCol w:w="5270"/>
      </w:tblGrid>
      <w:tr>
        <w:trPr>
          <w:cantSplit/>
        </w:trPr>
        <w:tc>
          <w:tcPr>
            <w:tcW w:type="dxa" w:w="5270"/>
            <w:shd w:fill="EAF0F7"/>
            <w:tcMar>
              <w:top w:w="70" w:type="dxa"/>
              <w:start w:w="80" w:type="dxa"/>
              <w:bottom w:w="70" w:type="dxa"/>
              <w:end w:w="80" w:type="dxa"/>
            </w:tcMar>
            <w:vAlign w:val="top"/>
          </w:tcPr>
          <w:p>
            <w:r>
              <w:rPr>
                <w:rFonts w:ascii="Arial" w:hAnsi="Arial"/>
                <w:b/>
                <w:color w:val="183E6B"/>
                <w:sz w:val="16"/>
              </w:rPr>
              <w:t>Why manual-only</w:t>
            </w:r>
          </w:p>
        </w:tc>
        <w:tc>
          <w:tcPr>
            <w:tcW w:type="dxa" w:w="5270"/>
            <w:tcMar>
              <w:top w:w="70" w:type="dxa"/>
              <w:start w:w="80" w:type="dxa"/>
              <w:bottom w:w="70" w:type="dxa"/>
              <w:end w:w="80" w:type="dxa"/>
            </w:tcMar>
            <w:vAlign w:val="top"/>
          </w:tcPr>
          <w:p>
            <w:r>
              <w:rPr>
                <w:rFonts w:ascii="Arial" w:hAnsi="Arial"/>
                <w:b w:val="0"/>
                <w:sz w:val="16"/>
              </w:rPr>
              <w:t>State transitions can be automated; a human must judge whether each role can understand current state, feedback and next action.</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Preconditions</w:t>
            </w:r>
          </w:p>
        </w:tc>
        <w:tc>
          <w:tcPr>
            <w:tcW w:type="dxa" w:w="5270"/>
            <w:tcMar>
              <w:top w:w="70" w:type="dxa"/>
              <w:start w:w="80" w:type="dxa"/>
              <w:bottom w:w="70" w:type="dxa"/>
              <w:end w:w="80" w:type="dxa"/>
            </w:tcMar>
            <w:vAlign w:val="top"/>
          </w:tcPr>
          <w:p>
            <w:r>
              <w:rPr>
                <w:rFonts w:ascii="Arial" w:hAnsi="Arial"/>
                <w:b w:val="0"/>
                <w:sz w:val="16"/>
              </w:rPr>
              <w:t>Disposable assigned student; valid test document; admin available; configured stage-advance mode recorded.</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Steps</w:t>
            </w:r>
          </w:p>
        </w:tc>
        <w:tc>
          <w:tcPr>
            <w:tcW w:type="dxa" w:w="5270"/>
            <w:tcMar>
              <w:top w:w="70" w:type="dxa"/>
              <w:start w:w="80" w:type="dxa"/>
              <w:bottom w:w="70" w:type="dxa"/>
              <w:end w:w="80" w:type="dxa"/>
            </w:tcMar>
            <w:vAlign w:val="top"/>
          </w:tcPr>
          <w:p>
            <w:pPr>
              <w:spacing w:after="10"/>
            </w:pPr>
            <w:r/>
            <w:r>
              <w:rPr>
                <w:rFonts w:ascii="Arial" w:hAnsi="Arial"/>
                <w:b w:val="0"/>
                <w:sz w:val="16"/>
              </w:rPr>
              <w:t>1. Student uploads a valid document and identifies the next action from the UI.</w:t>
            </w:r>
          </w:p>
          <w:p>
            <w:pPr>
              <w:spacing w:after="10"/>
            </w:pPr>
            <w:r>
              <w:rPr>
                <w:rFonts w:ascii="Arial" w:hAnsi="Arial"/>
                <w:b w:val="0"/>
                <w:sz w:val="16"/>
              </w:rPr>
              <w:t>2. Adviser requests revision with actionable remarks.</w:t>
            </w:r>
          </w:p>
          <w:p>
            <w:pPr>
              <w:spacing w:after="10"/>
            </w:pPr>
            <w:r>
              <w:rPr>
                <w:rFonts w:ascii="Arial" w:hAnsi="Arial"/>
                <w:b w:val="0"/>
                <w:sz w:val="16"/>
              </w:rPr>
              <w:t>3. Student confirms feedback is clear and uploads a corrected version.</w:t>
            </w:r>
          </w:p>
          <w:p>
            <w:pPr>
              <w:spacing w:after="10"/>
            </w:pPr>
            <w:r>
              <w:rPr>
                <w:rFonts w:ascii="Arial" w:hAnsi="Arial"/>
                <w:b w:val="0"/>
                <w:sz w:val="16"/>
              </w:rPr>
              <w:t>4. Adviser approves the current version.</w:t>
            </w:r>
          </w:p>
          <w:p>
            <w:pPr>
              <w:spacing w:after="10"/>
            </w:pPr>
            <w:r>
              <w:rPr>
                <w:rFonts w:ascii="Arial" w:hAnsi="Arial"/>
                <w:b w:val="0"/>
                <w:sz w:val="16"/>
              </w:rPr>
              <w:t>5. Student confirms formal Submit to RPMS appears only when appropriate and submits.</w:t>
            </w:r>
          </w:p>
          <w:p>
            <w:pPr>
              <w:spacing w:after="10"/>
            </w:pPr>
            <w:r>
              <w:rPr>
                <w:rFonts w:ascii="Arial" w:hAnsi="Arial"/>
                <w:b w:val="0"/>
                <w:sz w:val="16"/>
              </w:rPr>
              <w:t>6. Admin/RPMS confirms submitted state is clear and consistent across roles.</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Expected result</w:t>
            </w:r>
          </w:p>
        </w:tc>
        <w:tc>
          <w:tcPr>
            <w:tcW w:type="dxa" w:w="5270"/>
            <w:tcMar>
              <w:top w:w="70" w:type="dxa"/>
              <w:start w:w="80" w:type="dxa"/>
              <w:bottom w:w="70" w:type="dxa"/>
              <w:end w:w="80" w:type="dxa"/>
            </w:tcMar>
            <w:vAlign w:val="top"/>
          </w:tcPr>
          <w:p>
            <w:r>
              <w:rPr>
                <w:rFonts w:ascii="Arial" w:hAnsi="Arial"/>
                <w:b w:val="0"/>
                <w:sz w:val="16"/>
              </w:rPr>
              <w:t>At each handoff, a human can identify current state, responsible role, feedback and next action without contradictory labels or misleading controls.</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Status</w:t>
            </w:r>
          </w:p>
        </w:tc>
        <w:tc>
          <w:tcPr>
            <w:tcW w:type="dxa" w:w="5270"/>
            <w:tcMar>
              <w:top w:w="70" w:type="dxa"/>
              <w:start w:w="80" w:type="dxa"/>
              <w:bottom w:w="70" w:type="dxa"/>
              <w:end w:w="80" w:type="dxa"/>
            </w:tcMar>
            <w:vAlign w:val="top"/>
          </w:tcPr>
          <w:p>
            <w:r>
              <w:rPr>
                <w:rFonts w:ascii="Arial" w:hAnsi="Arial"/>
                <w:b w:val="0"/>
                <w:sz w:val="16"/>
              </w:rPr>
              <w:t>Not Tested</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Evidence / Remarks</w:t>
            </w:r>
          </w:p>
        </w:tc>
        <w:tc>
          <w:tcPr>
            <w:tcW w:type="dxa" w:w="5270"/>
            <w:tcMar>
              <w:top w:w="70" w:type="dxa"/>
              <w:start w:w="80" w:type="dxa"/>
              <w:bottom w:w="70" w:type="dxa"/>
              <w:end w:w="80" w:type="dxa"/>
            </w:tcMar>
            <w:vAlign w:val="top"/>
          </w:tcPr>
          <w:p>
            <w:r>
              <w:rPr>
                <w:rFonts w:ascii="Arial" w:hAnsi="Arial"/>
                <w:b w:val="0"/>
                <w:sz w:val="16"/>
              </w:rPr>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Original coverage linked</w:t>
            </w:r>
          </w:p>
        </w:tc>
        <w:tc>
          <w:tcPr>
            <w:tcW w:type="dxa" w:w="5270"/>
            <w:tcMar>
              <w:top w:w="70" w:type="dxa"/>
              <w:start w:w="80" w:type="dxa"/>
              <w:bottom w:w="70" w:type="dxa"/>
              <w:end w:w="80" w:type="dxa"/>
            </w:tcMar>
            <w:vAlign w:val="top"/>
          </w:tcPr>
          <w:p>
            <w:r>
              <w:rPr>
                <w:rFonts w:ascii="Arial" w:hAnsi="Arial"/>
                <w:b w:val="0"/>
                <w:sz w:val="16"/>
              </w:rPr>
              <w:t>ADV-002 to ADV-005 and DOC-001/DOC-004/DOC-005/DOC-007 as UAT only.</w:t>
            </w:r>
          </w:p>
        </w:tc>
      </w:tr>
    </w:tbl>
    <w:p>
      <w:pPr>
        <w:keepNext/>
        <w:spacing w:before="140" w:after="40"/>
      </w:pPr>
      <w:r>
        <w:rPr>
          <w:rFonts w:ascii="Arial" w:hAnsi="Arial"/>
          <w:b/>
          <w:color w:val="183E6B"/>
          <w:sz w:val="23"/>
        </w:rPr>
        <w:t>MAN-010 - Real Cross-Browser and Deployed-Environment Smoke</w:t>
      </w:r>
    </w:p>
    <w:tbl>
      <w:tblPr>
        <w:tblStyle w:val="TableGrid"/>
        <w:tblW w:type="auto" w:w="0"/>
        <w:jc w:val="center"/>
        <w:tblLook w:firstColumn="1" w:firstRow="1" w:lastColumn="0" w:lastRow="0" w:noHBand="0" w:noVBand="1" w:val="04A0"/>
      </w:tblPr>
      <w:tblGrid>
        <w:gridCol w:w="5270"/>
        <w:gridCol w:w="5270"/>
      </w:tblGrid>
      <w:tr>
        <w:trPr>
          <w:cantSplit/>
        </w:trPr>
        <w:tc>
          <w:tcPr>
            <w:tcW w:type="dxa" w:w="5270"/>
            <w:shd w:fill="EAF0F7"/>
            <w:tcMar>
              <w:top w:w="70" w:type="dxa"/>
              <w:start w:w="80" w:type="dxa"/>
              <w:bottom w:w="70" w:type="dxa"/>
              <w:end w:w="80" w:type="dxa"/>
            </w:tcMar>
            <w:vAlign w:val="top"/>
          </w:tcPr>
          <w:p>
            <w:r>
              <w:rPr>
                <w:rFonts w:ascii="Arial" w:hAnsi="Arial"/>
                <w:b/>
                <w:color w:val="183E6B"/>
                <w:sz w:val="16"/>
              </w:rPr>
              <w:t>Why manual-only</w:t>
            </w:r>
          </w:p>
        </w:tc>
        <w:tc>
          <w:tcPr>
            <w:tcW w:type="dxa" w:w="5270"/>
            <w:tcMar>
              <w:top w:w="70" w:type="dxa"/>
              <w:start w:w="80" w:type="dxa"/>
              <w:bottom w:w="70" w:type="dxa"/>
              <w:end w:w="80" w:type="dxa"/>
            </w:tcMar>
            <w:vAlign w:val="top"/>
          </w:tcPr>
          <w:p>
            <w:r>
              <w:rPr>
                <w:rFonts w:ascii="Arial" w:hAnsi="Arial"/>
                <w:b w:val="0"/>
                <w:sz w:val="16"/>
              </w:rPr>
              <w:t>Source/local automation cannot certify the exact lab/presentation machine, deployed origin, server policies, browser policies and network path.</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Preconditions</w:t>
            </w:r>
          </w:p>
        </w:tc>
        <w:tc>
          <w:tcPr>
            <w:tcW w:type="dxa" w:w="5270"/>
            <w:tcMar>
              <w:top w:w="70" w:type="dxa"/>
              <w:start w:w="80" w:type="dxa"/>
              <w:bottom w:w="70" w:type="dxa"/>
              <w:end w:w="80" w:type="dxa"/>
            </w:tcMar>
            <w:vAlign w:val="top"/>
          </w:tcPr>
          <w:p>
            <w:r>
              <w:rPr>
                <w:rFonts w:ascii="Arial" w:hAnsi="Arial"/>
                <w:b w:val="0"/>
                <w:sz w:val="16"/>
              </w:rPr>
              <w:t>Deployed PRISM URL; separate computer; Chrome and Edge; test role accounts.</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Steps</w:t>
            </w:r>
          </w:p>
        </w:tc>
        <w:tc>
          <w:tcPr>
            <w:tcW w:type="dxa" w:w="5270"/>
            <w:tcMar>
              <w:top w:w="70" w:type="dxa"/>
              <w:start w:w="80" w:type="dxa"/>
              <w:bottom w:w="70" w:type="dxa"/>
              <w:end w:w="80" w:type="dxa"/>
            </w:tcMar>
            <w:vAlign w:val="top"/>
          </w:tcPr>
          <w:p>
            <w:pPr>
              <w:spacing w:after="10"/>
            </w:pPr>
            <w:r/>
            <w:r>
              <w:rPr>
                <w:rFonts w:ascii="Arial" w:hAnsi="Arial"/>
                <w:b w:val="0"/>
                <w:sz w:val="16"/>
              </w:rPr>
              <w:t>1. Open the deployed URL from the separate machine and verify HTTPS/certificate behavior as applicable.</w:t>
            </w:r>
          </w:p>
          <w:p>
            <w:pPr>
              <w:spacing w:after="10"/>
            </w:pPr>
            <w:r>
              <w:rPr>
                <w:rFonts w:ascii="Arial" w:hAnsi="Arial"/>
                <w:b w:val="0"/>
                <w:sz w:val="16"/>
              </w:rPr>
              <w:t>2. Sign in as admin, adviser and student in separate sessions.</w:t>
            </w:r>
          </w:p>
          <w:p>
            <w:pPr>
              <w:spacing w:after="10"/>
            </w:pPr>
            <w:r>
              <w:rPr>
                <w:rFonts w:ascii="Arial" w:hAnsi="Arial"/>
                <w:b w:val="0"/>
                <w:sz w:val="16"/>
              </w:rPr>
              <w:t>3. Open each role landing page and one core feature page.</w:t>
            </w:r>
          </w:p>
          <w:p>
            <w:pPr>
              <w:spacing w:after="10"/>
            </w:pPr>
            <w:r>
              <w:rPr>
                <w:rFonts w:ascii="Arial" w:hAnsi="Arial"/>
                <w:b w:val="0"/>
                <w:sz w:val="16"/>
              </w:rPr>
              <w:t>4. Upload and download/preview a small valid PDF.</w:t>
            </w:r>
          </w:p>
          <w:p>
            <w:pPr>
              <w:spacing w:after="10"/>
            </w:pPr>
            <w:r>
              <w:rPr>
                <w:rFonts w:ascii="Arial" w:hAnsi="Arial"/>
                <w:b w:val="0"/>
                <w:sz w:val="16"/>
              </w:rPr>
              <w:t>5. Open a password-reset email link generated by the deployed instance.</w:t>
            </w:r>
          </w:p>
          <w:p>
            <w:pPr>
              <w:spacing w:after="10"/>
            </w:pPr>
            <w:r>
              <w:rPr>
                <w:rFonts w:ascii="Arial" w:hAnsi="Arial"/>
                <w:b w:val="0"/>
                <w:sz w:val="16"/>
              </w:rPr>
              <w:t>6. Check for obvious mixed-content/resource failures.</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Expected result</w:t>
            </w:r>
          </w:p>
        </w:tc>
        <w:tc>
          <w:tcPr>
            <w:tcW w:type="dxa" w:w="5270"/>
            <w:tcMar>
              <w:top w:w="70" w:type="dxa"/>
              <w:start w:w="80" w:type="dxa"/>
              <w:bottom w:w="70" w:type="dxa"/>
              <w:end w:w="80" w:type="dxa"/>
            </w:tcMar>
            <w:vAlign w:val="top"/>
          </w:tcPr>
          <w:p>
            <w:r>
              <w:rPr>
                <w:rFonts w:ascii="Arial" w:hAnsi="Arial"/>
                <w:b w:val="0"/>
                <w:sz w:val="16"/>
              </w:rPr>
              <w:t>Application is reachable from the external machine; redirects/assets use the deployed origin; sessions work; core pages and file actions work in real browsers; reset links resolve to deployed PRISM.</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Status</w:t>
            </w:r>
          </w:p>
        </w:tc>
        <w:tc>
          <w:tcPr>
            <w:tcW w:type="dxa" w:w="5270"/>
            <w:tcMar>
              <w:top w:w="70" w:type="dxa"/>
              <w:start w:w="80" w:type="dxa"/>
              <w:bottom w:w="70" w:type="dxa"/>
              <w:end w:w="80" w:type="dxa"/>
            </w:tcMar>
            <w:vAlign w:val="top"/>
          </w:tcPr>
          <w:p>
            <w:r>
              <w:rPr>
                <w:rFonts w:ascii="Arial" w:hAnsi="Arial"/>
                <w:b w:val="0"/>
                <w:sz w:val="16"/>
              </w:rPr>
              <w:t>Not Tested</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Evidence / Remarks</w:t>
            </w:r>
          </w:p>
        </w:tc>
        <w:tc>
          <w:tcPr>
            <w:tcW w:type="dxa" w:w="5270"/>
            <w:tcMar>
              <w:top w:w="70" w:type="dxa"/>
              <w:start w:w="80" w:type="dxa"/>
              <w:bottom w:w="70" w:type="dxa"/>
              <w:end w:w="80" w:type="dxa"/>
            </w:tcMar>
            <w:vAlign w:val="top"/>
          </w:tcPr>
          <w:p>
            <w:r>
              <w:rPr>
                <w:rFonts w:ascii="Arial" w:hAnsi="Arial"/>
                <w:b w:val="0"/>
                <w:sz w:val="16"/>
              </w:rPr>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Original coverage linked</w:t>
            </w:r>
          </w:p>
        </w:tc>
        <w:tc>
          <w:tcPr>
            <w:tcW w:type="dxa" w:w="5270"/>
            <w:tcMar>
              <w:top w:w="70" w:type="dxa"/>
              <w:start w:w="80" w:type="dxa"/>
              <w:bottom w:w="70" w:type="dxa"/>
              <w:end w:w="80" w:type="dxa"/>
            </w:tcMar>
            <w:vAlign w:val="top"/>
          </w:tcPr>
          <w:p>
            <w:r>
              <w:rPr>
                <w:rFonts w:ascii="Arial" w:hAnsi="Arial"/>
                <w:b w:val="0"/>
                <w:sz w:val="16"/>
              </w:rPr>
              <w:t>Deployment acceptance complement to AUTH/DOC/UI technical coverage.</w:t>
            </w:r>
          </w:p>
        </w:tc>
      </w:tr>
    </w:tbl>
    <w:p>
      <w:pPr>
        <w:keepNext/>
        <w:spacing w:before="140" w:after="40"/>
      </w:pPr>
      <w:r>
        <w:rPr>
          <w:rFonts w:ascii="Arial" w:hAnsi="Arial"/>
          <w:b/>
          <w:color w:val="183E6B"/>
          <w:sz w:val="23"/>
        </w:rPr>
        <w:t>MAN-011 - Operator-Controlled Schema v6 Migration Gate for Important Deployment DB</w:t>
      </w:r>
    </w:p>
    <w:tbl>
      <w:tblPr>
        <w:tblStyle w:val="TableGrid"/>
        <w:tblW w:type="auto" w:w="0"/>
        <w:jc w:val="center"/>
        <w:tblLook w:firstColumn="1" w:firstRow="1" w:lastColumn="0" w:lastRow="0" w:noHBand="0" w:noVBand="1" w:val="04A0"/>
      </w:tblPr>
      <w:tblGrid>
        <w:gridCol w:w="5270"/>
        <w:gridCol w:w="5270"/>
      </w:tblGrid>
      <w:tr>
        <w:trPr>
          <w:cantSplit/>
        </w:trPr>
        <w:tc>
          <w:tcPr>
            <w:tcW w:type="dxa" w:w="5270"/>
            <w:shd w:fill="EAF0F7"/>
            <w:tcMar>
              <w:top w:w="70" w:type="dxa"/>
              <w:start w:w="80" w:type="dxa"/>
              <w:bottom w:w="70" w:type="dxa"/>
              <w:end w:w="80" w:type="dxa"/>
            </w:tcMar>
            <w:vAlign w:val="top"/>
          </w:tcPr>
          <w:p>
            <w:r>
              <w:rPr>
                <w:rFonts w:ascii="Arial" w:hAnsi="Arial"/>
                <w:b/>
                <w:color w:val="183E6B"/>
                <w:sz w:val="16"/>
              </w:rPr>
              <w:t>Why manual-only</w:t>
            </w:r>
          </w:p>
        </w:tc>
        <w:tc>
          <w:tcPr>
            <w:tcW w:type="dxa" w:w="5270"/>
            <w:tcMar>
              <w:top w:w="70" w:type="dxa"/>
              <w:start w:w="80" w:type="dxa"/>
              <w:bottom w:w="70" w:type="dxa"/>
              <w:end w:w="80" w:type="dxa"/>
            </w:tcMar>
            <w:vAlign w:val="top"/>
          </w:tcPr>
          <w:p>
            <w:r>
              <w:rPr>
                <w:rFonts w:ascii="Arial" w:hAnsi="Arial"/>
                <w:b w:val="0"/>
                <w:sz w:val="16"/>
              </w:rPr>
              <w:t>Astra should prove migration behavior on disposable databases. An important staging/production-like DB must only be migrated by an authorized operator with an actually tested backup/restore path and explicit target verification.</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Preconditions</w:t>
            </w:r>
          </w:p>
        </w:tc>
        <w:tc>
          <w:tcPr>
            <w:tcW w:type="dxa" w:w="5270"/>
            <w:tcMar>
              <w:top w:w="70" w:type="dxa"/>
              <w:start w:w="80" w:type="dxa"/>
              <w:bottom w:w="70" w:type="dxa"/>
              <w:end w:w="80" w:type="dxa"/>
            </w:tcMar>
            <w:vAlign w:val="top"/>
          </w:tcPr>
          <w:p>
            <w:r>
              <w:rPr>
                <w:rFonts w:ascii="Arial" w:hAnsi="Arial"/>
                <w:b w:val="0"/>
                <w:sz w:val="16"/>
              </w:rPr>
              <w:t>Owner approval; current v6 technical migration suite green; intended DB name known; migration guards available; backup destination available.</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Steps</w:t>
            </w:r>
          </w:p>
        </w:tc>
        <w:tc>
          <w:tcPr>
            <w:tcW w:type="dxa" w:w="5270"/>
            <w:tcMar>
              <w:top w:w="70" w:type="dxa"/>
              <w:start w:w="80" w:type="dxa"/>
              <w:bottom w:w="70" w:type="dxa"/>
              <w:end w:w="80" w:type="dxa"/>
            </w:tcMar>
            <w:vAlign w:val="top"/>
          </w:tcPr>
          <w:p>
            <w:pPr>
              <w:spacing w:after="10"/>
            </w:pPr>
            <w:r/>
            <w:r>
              <w:rPr>
                <w:rFonts w:ascii="Arial" w:hAnsi="Arial"/>
                <w:b w:val="0"/>
                <w:sz w:val="16"/>
              </w:rPr>
              <w:t>1. Export the intended database backup and record non-secret row-count/schema baseline.</w:t>
            </w:r>
          </w:p>
          <w:p>
            <w:pPr>
              <w:spacing w:after="10"/>
            </w:pPr>
            <w:r>
              <w:rPr>
                <w:rFonts w:ascii="Arial" w:hAnsi="Arial"/>
                <w:b w:val="0"/>
                <w:sz w:val="16"/>
              </w:rPr>
              <w:t>2. Restore that backup into a separately named disposable database and verify representative tables/row counts. Do not proceed if restore proof fails.</w:t>
            </w:r>
          </w:p>
          <w:p>
            <w:pPr>
              <w:spacing w:after="10"/>
            </w:pPr>
            <w:r>
              <w:rPr>
                <w:rFonts w:ascii="Arial" w:hAnsi="Arial"/>
                <w:b w:val="0"/>
                <w:sz w:val="16"/>
              </w:rPr>
              <w:t>3. Confirm the configured DB name and explicit expected-target guard before DDL.</w:t>
            </w:r>
          </w:p>
          <w:p>
            <w:pPr>
              <w:spacing w:after="10"/>
            </w:pPr>
            <w:r>
              <w:rPr>
                <w:rFonts w:ascii="Arial" w:hAnsi="Arial"/>
                <w:b w:val="0"/>
                <w:sz w:val="16"/>
              </w:rPr>
              <w:t>4. Run the authorized v6 migration once against the intended important DB.</w:t>
            </w:r>
          </w:p>
          <w:p>
            <w:pPr>
              <w:spacing w:after="10"/>
            </w:pPr>
            <w:r>
              <w:rPr>
                <w:rFonts w:ascii="Arial" w:hAnsi="Arial"/>
                <w:b w:val="0"/>
                <w:sz w:val="16"/>
              </w:rPr>
              <w:t>5. Verify schema_version=6, required AUTO_INCREMENT metadata, required foreign keys and preservation of legacy zero-ID rows where present.</w:t>
            </w:r>
          </w:p>
          <w:p>
            <w:pPr>
              <w:spacing w:after="10"/>
            </w:pPr>
            <w:r>
              <w:rPr>
                <w:rFonts w:ascii="Arial" w:hAnsi="Arial"/>
                <w:b w:val="0"/>
                <w:sz w:val="16"/>
              </w:rPr>
              <w:t>6. Create one disposable student and confirm positive ID allocation.</w:t>
            </w:r>
          </w:p>
          <w:p>
            <w:pPr>
              <w:spacing w:after="10"/>
            </w:pPr>
            <w:r>
              <w:rPr>
                <w:rFonts w:ascii="Arial" w:hAnsi="Arial"/>
                <w:b w:val="0"/>
                <w:sz w:val="16"/>
              </w:rPr>
              <w:t>7. Rerun the migration to confirm idempotence, then remove migration opt-in variables.</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Expected result</w:t>
            </w:r>
          </w:p>
        </w:tc>
        <w:tc>
          <w:tcPr>
            <w:tcW w:type="dxa" w:w="5270"/>
            <w:tcMar>
              <w:top w:w="70" w:type="dxa"/>
              <w:start w:w="80" w:type="dxa"/>
              <w:bottom w:w="70" w:type="dxa"/>
              <w:end w:w="80" w:type="dxa"/>
            </w:tcMar>
            <w:vAlign w:val="top"/>
          </w:tcPr>
          <w:p>
            <w:r>
              <w:rPr>
                <w:rFonts w:ascii="Arial" w:hAnsi="Arial"/>
                <w:b w:val="0"/>
                <w:sz w:val="16"/>
              </w:rPr>
              <w:t>Backup restore is proven before important-DB DDL. Only the explicitly intended DB is touched. Migration reaches v6 without data loss, new IDs allocate normally, constraints are present, and rerun is safe/idempotent. Any target mismatch or incompatibility stops before DDL.</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Status</w:t>
            </w:r>
          </w:p>
        </w:tc>
        <w:tc>
          <w:tcPr>
            <w:tcW w:type="dxa" w:w="5270"/>
            <w:tcMar>
              <w:top w:w="70" w:type="dxa"/>
              <w:start w:w="80" w:type="dxa"/>
              <w:bottom w:w="70" w:type="dxa"/>
              <w:end w:w="80" w:type="dxa"/>
            </w:tcMar>
            <w:vAlign w:val="top"/>
          </w:tcPr>
          <w:p>
            <w:r>
              <w:rPr>
                <w:rFonts w:ascii="Arial" w:hAnsi="Arial"/>
                <w:b w:val="0"/>
                <w:sz w:val="16"/>
              </w:rPr>
              <w:t>Partial - test DB verified</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Evidence / Remarks</w:t>
            </w:r>
          </w:p>
        </w:tc>
        <w:tc>
          <w:tcPr>
            <w:tcW w:type="dxa" w:w="5270"/>
            <w:tcMar>
              <w:top w:w="70" w:type="dxa"/>
              <w:start w:w="80" w:type="dxa"/>
              <w:bottom w:w="70" w:type="dxa"/>
              <w:end w:w="80" w:type="dxa"/>
            </w:tcMar>
            <w:vAlign w:val="top"/>
          </w:tcPr>
          <w:p>
            <w:r>
              <w:rPr>
                <w:rFonts w:ascii="Arial" w:hAnsi="Arial"/>
                <w:b w:val="0"/>
                <w:sz w:val="16"/>
              </w:rPr>
              <w:t>Controlled prism_academic_test migration and post-migration student creation were already verified. Important/deployment DB migration remains pending.</w:t>
            </w:r>
          </w:p>
        </w:tc>
      </w:tr>
      <w:tr>
        <w:trPr>
          <w:cantSplit/>
        </w:trPr>
        <w:tc>
          <w:tcPr>
            <w:tcW w:type="dxa" w:w="5270"/>
            <w:shd w:fill="EAF0F7"/>
            <w:tcMar>
              <w:top w:w="70" w:type="dxa"/>
              <w:start w:w="80" w:type="dxa"/>
              <w:bottom w:w="70" w:type="dxa"/>
              <w:end w:w="80" w:type="dxa"/>
            </w:tcMar>
            <w:vAlign w:val="top"/>
          </w:tcPr>
          <w:p>
            <w:r>
              <w:rPr>
                <w:rFonts w:ascii="Arial" w:hAnsi="Arial"/>
                <w:b/>
                <w:color w:val="183E6B"/>
                <w:sz w:val="16"/>
              </w:rPr>
              <w:t>Original coverage linked</w:t>
            </w:r>
          </w:p>
        </w:tc>
        <w:tc>
          <w:tcPr>
            <w:tcW w:type="dxa" w:w="5270"/>
            <w:tcMar>
              <w:top w:w="70" w:type="dxa"/>
              <w:start w:w="80" w:type="dxa"/>
              <w:bottom w:w="70" w:type="dxa"/>
              <w:end w:w="80" w:type="dxa"/>
            </w:tcMar>
            <w:vAlign w:val="top"/>
          </w:tcPr>
          <w:p>
            <w:r>
              <w:rPr>
                <w:rFonts w:ascii="Arial" w:hAnsi="Arial"/>
                <w:b w:val="0"/>
                <w:sz w:val="16"/>
              </w:rPr>
              <w:t>Manual operator gate for current schema v6. Disposable compatibility/failure/retry/lock/target-guard testing remains Astra-owned.</w:t>
            </w:r>
          </w:p>
        </w:tc>
      </w:tr>
    </w:tbl>
    <w:p>
      <w:pPr>
        <w:pStyle w:val="Heading1"/>
      </w:pPr>
      <w:r>
        <w:rPr>
          <w:rFonts w:ascii="Arial" w:hAnsi="Arial"/>
          <w:b/>
          <w:color w:val="183E6B"/>
          <w:sz w:val="28"/>
        </w:rPr>
        <w:t>6. Release / Presentation Gate</w:t>
      </w:r>
    </w:p>
    <w:p>
      <w:pPr>
        <w:spacing w:after="30"/>
      </w:pPr>
      <w:r>
        <w:rPr>
          <w:rFonts w:ascii="Arial" w:hAnsi="Arial"/>
          <w:b w:val="0"/>
          <w:sz w:val="21"/>
        </w:rPr>
        <w:t xml:space="preserve">☐ </w:t>
      </w:r>
      <w:r>
        <w:rPr>
          <w:rFonts w:ascii="Arial" w:hAnsi="Arial"/>
          <w:b w:val="0"/>
          <w:sz w:val="18"/>
        </w:rPr>
        <w:t>Technical audit is tied to the exact application baseline ef6dc8d7fc02f4ac82927989c08cfcc8d7fcc232 (or a later explicitly recorded final code SHA).</w:t>
      </w:r>
    </w:p>
    <w:p>
      <w:pPr>
        <w:spacing w:after="30"/>
      </w:pPr>
      <w:r>
        <w:rPr>
          <w:rFonts w:ascii="Arial" w:hAnsi="Arial"/>
          <w:b w:val="0"/>
          <w:sz w:val="21"/>
        </w:rPr>
        <w:t xml:space="preserve">☐ </w:t>
      </w:r>
      <w:r>
        <w:rPr>
          <w:rFonts w:ascii="Arial" w:hAnsi="Arial"/>
          <w:b w:val="0"/>
          <w:sz w:val="18"/>
        </w:rPr>
        <w:t>All 164 original test IDs are accounted for in the traceability matrix with a named execution owner and actual evidence reference or an explicit Blocked/coverage-gap disposition.</w:t>
      </w:r>
    </w:p>
    <w:p>
      <w:pPr>
        <w:spacing w:after="30"/>
      </w:pPr>
      <w:r>
        <w:rPr>
          <w:rFonts w:ascii="Arial" w:hAnsi="Arial"/>
          <w:b w:val="0"/>
          <w:sz w:val="21"/>
        </w:rPr>
        <w:t xml:space="preserve">☐ </w:t>
      </w:r>
      <w:r>
        <w:rPr>
          <w:rFonts w:ascii="Arial" w:hAnsi="Arial"/>
          <w:b w:val="0"/>
          <w:sz w:val="18"/>
        </w:rPr>
        <w:t>Astra provides exact commands, assertion/case counts, runtime versions, disposable MariaDB evidence, defects/fixes, and a clean final regression on the final code SHA.</w:t>
      </w:r>
    </w:p>
    <w:p>
      <w:pPr>
        <w:spacing w:after="30"/>
      </w:pPr>
      <w:r>
        <w:rPr>
          <w:rFonts w:ascii="Arial" w:hAnsi="Arial"/>
          <w:b w:val="0"/>
          <w:sz w:val="21"/>
        </w:rPr>
        <w:t xml:space="preserve">☐ </w:t>
      </w:r>
      <w:r>
        <w:rPr>
          <w:rFonts w:ascii="Arial" w:hAnsi="Arial"/>
          <w:b w:val="0"/>
          <w:sz w:val="18"/>
        </w:rPr>
        <w:t>Claude and Grok independently challenge the high-risk authorization, data-integrity, formal-submission, race/concurrency, session and migration cases; unresolved credible findings are reconciled before release.</w:t>
      </w:r>
    </w:p>
    <w:p>
      <w:pPr>
        <w:spacing w:after="30"/>
      </w:pPr>
      <w:r>
        <w:rPr>
          <w:rFonts w:ascii="Arial" w:hAnsi="Arial"/>
          <w:b w:val="0"/>
          <w:sz w:val="21"/>
        </w:rPr>
        <w:t xml:space="preserve">☐ </w:t>
      </w:r>
      <w:r>
        <w:rPr>
          <w:rFonts w:ascii="Arial" w:hAnsi="Arial"/>
          <w:b w:val="0"/>
          <w:sz w:val="18"/>
        </w:rPr>
        <w:t>All applicable MAN cases are Passed, or an approved external limitation is explicitly documented as Blocked.</w:t>
      </w:r>
    </w:p>
    <w:p>
      <w:pPr>
        <w:spacing w:after="30"/>
      </w:pPr>
      <w:r>
        <w:rPr>
          <w:rFonts w:ascii="Arial" w:hAnsi="Arial"/>
          <w:b w:val="0"/>
          <w:sz w:val="21"/>
        </w:rPr>
        <w:t xml:space="preserve">☐ </w:t>
      </w:r>
      <w:r>
        <w:rPr>
          <w:rFonts w:ascii="Arial" w:hAnsi="Arial"/>
          <w:b w:val="0"/>
          <w:sz w:val="18"/>
        </w:rPr>
        <w:t>The actual/equivalent presentation machine/network has passed MAN-010.</w:t>
      </w:r>
    </w:p>
    <w:p>
      <w:pPr>
        <w:spacing w:after="30"/>
      </w:pPr>
      <w:r>
        <w:rPr>
          <w:rFonts w:ascii="Arial" w:hAnsi="Arial"/>
          <w:b w:val="0"/>
          <w:sz w:val="21"/>
        </w:rPr>
        <w:t xml:space="preserve">☐ </w:t>
      </w:r>
      <w:r>
        <w:rPr>
          <w:rFonts w:ascii="Arial" w:hAnsi="Arial"/>
          <w:b w:val="0"/>
          <w:sz w:val="18"/>
        </w:rPr>
        <w:t>Before any important DB migration, MAN-011 includes a successful restore of the backup into a separately named disposable DB.</w:t>
      </w:r>
    </w:p>
    <w:p>
      <w:pPr>
        <w:pStyle w:val="Heading1"/>
      </w:pPr>
      <w:r>
        <w:rPr>
          <w:rFonts w:ascii="Arial" w:hAnsi="Arial"/>
          <w:b/>
          <w:color w:val="183E6B"/>
          <w:sz w:val="28"/>
        </w:rPr>
        <w:t>7. Evidence Handling</w:t>
      </w:r>
    </w:p>
    <w:p>
      <w:pPr>
        <w:pStyle w:val="ListBullet"/>
        <w:spacing w:after="30"/>
      </w:pPr>
      <w:r>
        <w:rPr>
          <w:rFonts w:ascii="Arial" w:hAnsi="Arial"/>
          <w:b w:val="0"/>
          <w:sz w:val="18"/>
        </w:rPr>
        <w:t>Do not paste passwords, reset tokens, private configuration or production secrets into QA reports.</w:t>
      </w:r>
    </w:p>
    <w:p>
      <w:pPr>
        <w:pStyle w:val="ListBullet"/>
        <w:spacing w:after="30"/>
      </w:pPr>
      <w:r>
        <w:rPr>
          <w:rFonts w:ascii="Arial" w:hAnsi="Arial"/>
          <w:b w:val="0"/>
          <w:sz w:val="18"/>
        </w:rPr>
        <w:t>For external email: record timestamp, recipient role, subject/type and receipt outcome; redact addresses unless they are dedicated test values.</w:t>
      </w:r>
    </w:p>
    <w:p>
      <w:pPr>
        <w:pStyle w:val="ListBullet"/>
        <w:spacing w:after="30"/>
      </w:pPr>
      <w:r>
        <w:rPr>
          <w:rFonts w:ascii="Arial" w:hAnsi="Arial"/>
          <w:b w:val="0"/>
          <w:sz w:val="18"/>
        </w:rPr>
        <w:t>For visual/accessibility failures: record page, browser, viewport, theme, reproduction and screenshot.</w:t>
      </w:r>
    </w:p>
    <w:p>
      <w:pPr>
        <w:pStyle w:val="ListBullet"/>
        <w:spacing w:after="30"/>
      </w:pPr>
      <w:r>
        <w:rPr>
          <w:rFonts w:ascii="Arial" w:hAnsi="Arial"/>
          <w:b w:val="0"/>
          <w:sz w:val="18"/>
        </w:rPr>
        <w:t>For migration: preserve backup filename/date, restore proof, target DB, command outcome, schema/version and sanitized row counts. For AI quality, record the source fixture and unsupported statement without exposing sensitive research content.</w:t>
      </w:r>
    </w:p>
    <w:sectPr w:rsidR="00FC693F" w:rsidRPr="0006063C" w:rsidSect="00034616">
      <w:headerReference w:type="default" r:id="rId9"/>
      <w:footerReference w:type="default" r:id="rId10"/>
      <w:pgSz w:w="12240" w:h="15840"/>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E6E6E"/>
        <w:sz w:val="15"/>
      </w:rPr>
      <w:t>Code baseline ef6dc8d7fc02 | Schema v6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F5F5F"/>
        <w:sz w:val="16"/>
      </w:rPr>
      <w:t>PRISM - Manual-Only Acceptance Test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E6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0548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E6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Manual-Only Acceptance Test Plan - Final</dc:title>
  <dc:subject/>
  <dc:creator>PRISM QA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