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83E6B"/>
          <w:sz w:val="38"/>
        </w:rPr>
        <w:t>PRISM Technical Test Traceability Matrix</w:t>
      </w:r>
    </w:p>
    <w:p>
      <w:pPr>
        <w:jc w:val="center"/>
      </w:pPr>
      <w:r>
        <w:rPr>
          <w:rFonts w:ascii="Arial" w:hAnsi="Arial"/>
          <w:b w:val="0"/>
          <w:color w:val="414141"/>
          <w:sz w:val="19"/>
        </w:rPr>
        <w:t>Authoritative accounting of the original 164 test IDs. This matrix assigns execution ownership and evidence targets without falsely marking unverified cases as Passed.</w:t>
      </w:r>
    </w:p>
    <w:p>
      <w:pPr>
        <w:pStyle w:val="Heading1"/>
      </w:pPr>
      <w:r>
        <w:rPr>
          <w:rFonts w:ascii="Arial" w:hAnsi="Arial"/>
          <w:b/>
          <w:color w:val="183E6B"/>
          <w:sz w:val="28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cantSplit/>
        </w:trPr>
        <w:tc>
          <w:tcPr>
            <w:tcW w:type="dxa" w:w="7353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color w:val="183E6B"/>
                <w:sz w:val="17"/>
              </w:rPr>
              <w:t>Project</w:t>
            </w:r>
          </w:p>
        </w:tc>
        <w:tc>
          <w:tcPr>
            <w:tcW w:type="dxa" w:w="73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 w:val="0"/>
                <w:sz w:val="17"/>
              </w:rPr>
              <w:t>PRISM / rpms_system</w:t>
            </w:r>
          </w:p>
        </w:tc>
      </w:tr>
      <w:tr>
        <w:trPr>
          <w:cantSplit/>
        </w:trPr>
        <w:tc>
          <w:tcPr>
            <w:tcW w:type="dxa" w:w="7353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color w:val="183E6B"/>
                <w:sz w:val="17"/>
              </w:rPr>
              <w:t>Code branch</w:t>
            </w:r>
          </w:p>
        </w:tc>
        <w:tc>
          <w:tcPr>
            <w:tcW w:type="dxa" w:w="73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 w:val="0"/>
                <w:sz w:val="17"/>
              </w:rPr>
              <w:t>prism-v2-final-audit</w:t>
            </w:r>
          </w:p>
        </w:tc>
      </w:tr>
      <w:tr>
        <w:trPr>
          <w:cantSplit/>
        </w:trPr>
        <w:tc>
          <w:tcPr>
            <w:tcW w:type="dxa" w:w="7353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color w:val="183E6B"/>
                <w:sz w:val="17"/>
              </w:rPr>
              <w:t>Code baseline commit</w:t>
            </w:r>
          </w:p>
        </w:tc>
        <w:tc>
          <w:tcPr>
            <w:tcW w:type="dxa" w:w="73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 w:val="0"/>
                <w:sz w:val="17"/>
              </w:rPr>
              <w:t>ef6dc8d7fc02f4ac82927989c08cfcc8d7fcc232</w:t>
            </w:r>
          </w:p>
        </w:tc>
      </w:tr>
      <w:tr>
        <w:trPr>
          <w:cantSplit/>
        </w:trPr>
        <w:tc>
          <w:tcPr>
            <w:tcW w:type="dxa" w:w="7353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color w:val="183E6B"/>
                <w:sz w:val="17"/>
              </w:rPr>
              <w:t>Schema version</w:t>
            </w:r>
          </w:p>
        </w:tc>
        <w:tc>
          <w:tcPr>
            <w:tcW w:type="dxa" w:w="73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7353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color w:val="183E6B"/>
                <w:sz w:val="17"/>
              </w:rPr>
              <w:t>MariaDB reference version</w:t>
            </w:r>
          </w:p>
        </w:tc>
        <w:tc>
          <w:tcPr>
            <w:tcW w:type="dxa" w:w="73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 w:val="0"/>
                <w:sz w:val="17"/>
              </w:rPr>
              <w:t>10.4.32</w:t>
            </w:r>
          </w:p>
        </w:tc>
      </w:tr>
      <w:tr>
        <w:trPr>
          <w:cantSplit/>
        </w:trPr>
        <w:tc>
          <w:tcPr>
            <w:tcW w:type="dxa" w:w="7353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color w:val="183E6B"/>
                <w:sz w:val="17"/>
              </w:rPr>
              <w:t>Revision date</w:t>
            </w:r>
          </w:p>
        </w:tc>
        <w:tc>
          <w:tcPr>
            <w:tcW w:type="dxa" w:w="73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 w:val="0"/>
                <w:sz w:val="17"/>
              </w:rPr>
              <w:t>02 October 2026</w:t>
            </w:r>
          </w:p>
        </w:tc>
      </w:tr>
      <w:tr>
        <w:trPr>
          <w:cantSplit/>
        </w:trPr>
        <w:tc>
          <w:tcPr>
            <w:tcW w:type="dxa" w:w="7353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color w:val="183E6B"/>
                <w:sz w:val="17"/>
              </w:rPr>
              <w:t>QA package commit</w:t>
            </w:r>
          </w:p>
        </w:tc>
        <w:tc>
          <w:tcPr>
            <w:tcW w:type="dxa" w:w="73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 w:val="0"/>
                <w:sz w:val="17"/>
              </w:rPr>
              <w:t>Pending docs-only commit</w:t>
            </w:r>
          </w:p>
        </w:tc>
      </w:tr>
      <w:tr>
        <w:trPr>
          <w:cantSplit/>
        </w:trPr>
        <w:tc>
          <w:tcPr>
            <w:tcW w:type="dxa" w:w="7353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color w:val="183E6B"/>
                <w:sz w:val="17"/>
              </w:rPr>
              <w:t>Baseline note</w:t>
            </w:r>
          </w:p>
        </w:tc>
        <w:tc>
          <w:tcPr>
            <w:tcW w:type="dxa" w:w="73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b w:val="0"/>
                <w:sz w:val="17"/>
              </w:rPr>
              <w:t>The code baseline SHA above is the immutable application baseline. QA documents may be added later in a docs-only commit without changing application code.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83E6B"/>
          <w:sz w:val="28"/>
        </w:rPr>
        <w:t>1. How to Use This Matrix</w:t>
      </w:r>
    </w:p>
    <w:p>
      <w:pPr>
        <w:pStyle w:val="ListBullet"/>
        <w:spacing w:after="30"/>
      </w:pPr>
      <w:r>
        <w:rPr>
          <w:rFonts w:ascii="Arial" w:hAnsi="Arial"/>
          <w:b w:val="0"/>
          <w:sz w:val="17"/>
        </w:rPr>
        <w:t>Original test IDs remain the behavioral inventory even when manual execution is trimmed.</w:t>
      </w:r>
    </w:p>
    <w:p>
      <w:pPr>
        <w:pStyle w:val="ListBullet"/>
        <w:spacing w:after="30"/>
      </w:pPr>
      <w:r>
        <w:rPr>
          <w:rFonts w:ascii="Arial" w:hAnsi="Arial"/>
          <w:b w:val="0"/>
          <w:sz w:val="17"/>
        </w:rPr>
        <w:t>“Evidence target” names the suite or evidence family Astra should use; it is not itself proof of coverage. Astra must cite the actual command/assertion/result in the final audit report.</w:t>
      </w:r>
    </w:p>
    <w:p>
      <w:pPr>
        <w:pStyle w:val="ListBullet"/>
        <w:spacing w:after="30"/>
      </w:pPr>
      <w:r>
        <w:rPr>
          <w:rFonts w:ascii="Arial" w:hAnsi="Arial"/>
          <w:b w:val="0"/>
          <w:sz w:val="17"/>
        </w:rPr>
        <w:t>Claude/Grok are independent source reviewers. Their role is to challenge high-risk coverage and identify blind spots; they cannot convert runtime cases into Passed without executable evidence.</w:t>
      </w:r>
    </w:p>
    <w:p>
      <w:pPr>
        <w:pStyle w:val="ListBullet"/>
        <w:spacing w:after="30"/>
      </w:pPr>
      <w:r>
        <w:rPr>
          <w:rFonts w:ascii="Arial" w:hAnsi="Arial"/>
          <w:b w:val="0"/>
          <w:sz w:val="17"/>
        </w:rPr>
        <w:t>Rows linked to MAN cases still require Astra to prove the technical portion. The MAN case only covers the real external/human portion.</w:t>
      </w:r>
    </w:p>
    <w:p>
      <w:pPr>
        <w:pStyle w:val="ListBullet"/>
        <w:spacing w:after="30"/>
      </w:pPr>
      <w:r>
        <w:rPr>
          <w:rFonts w:ascii="Arial" w:hAnsi="Arial"/>
          <w:b w:val="0"/>
          <w:sz w:val="17"/>
        </w:rPr>
        <w:t>The original MIG section is schema-v5-oriented. Current release verification must map those intentions to schema-v6 tests and update wording rather than claiming the old cases passed unchanged.</w:t>
      </w:r>
    </w:p>
    <w:p>
      <w:pPr>
        <w:pStyle w:val="Heading1"/>
      </w:pPr>
      <w:r>
        <w:rPr>
          <w:rFonts w:ascii="Arial" w:hAnsi="Arial"/>
          <w:b/>
          <w:color w:val="183E6B"/>
          <w:sz w:val="28"/>
        </w:rPr>
        <w:t>2. Inventory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rPr>
          <w:tblHeader w:val="true"/>
        </w:trPr>
        <w:tc>
          <w:tcPr>
            <w:tcW w:type="dxa" w:w="490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90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Original IDs</w:t>
            </w:r>
          </w:p>
        </w:tc>
        <w:tc>
          <w:tcPr>
            <w:tcW w:type="dxa" w:w="490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Authentication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AUTH-001 to AUTH-017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Admin Student Management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STU-001 to STU-014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IERB Progress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IERB-001 to IERB-012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Notifications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NOTIF-001 to NOTIF-013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Dashboard / Reports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REP-001 to REP-012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Activity Logs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LOG-001 to LOG-004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Academic Features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ACA-001 to ACA-028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Role / Authorization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ROL-001 to ROL-012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Adviser Workflow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ADV-001 to ADV-008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Document Lifecycle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DOC-001 to DOC-016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Security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SEC-001 to SEC-014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Migration / Integration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MIG-001 to MIG-014</w:t>
            </w:r>
          </w:p>
        </w:tc>
        <w:tc>
          <w:tcPr>
            <w:tcW w:type="dxa" w:w="49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14</w:t>
            </w:r>
          </w:p>
        </w:tc>
      </w:tr>
      <w:tr>
        <w:tc>
          <w:tcPr>
            <w:tcW w:type="dxa" w:w="4902"/>
            <w:shd w:fill="EAF0F7"/>
          </w:tcPr>
          <w:p>
            <w:r>
              <w:rPr>
                <w:rFonts w:ascii="Arial" w:hAnsi="Arial"/>
                <w:b/>
                <w:sz w:val="16"/>
              </w:rPr>
              <w:t>TOTAL</w:t>
            </w:r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>
            <w:r>
              <w:rPr>
                <w:rFonts w:ascii="Arial" w:hAnsi="Arial"/>
                <w:b/>
                <w:sz w:val="16"/>
              </w:rPr>
              <w:t>164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83E6B"/>
          <w:sz w:val="28"/>
        </w:rPr>
        <w:t>3. Per-Case Traceability</w:t>
      </w: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AUTH-001</w:t>
              <w:br/>
              <w:t>Valid administrator login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MAN-010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MAN-010;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AUTH-002</w:t>
              <w:br/>
              <w:t>Valid adviser login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MAN-010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MAN-010;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AUTH-003</w:t>
              <w:br/>
              <w:t>Valid student login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MAN-010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MAN-010;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AUTH-004</w:t>
              <w:br/>
              <w:t>Invalid or unknown credentials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AUTH-005</w:t>
              <w:br/>
              <w:t>Required login fields and email identity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AUTH-006</w:t>
              <w:br/>
              <w:t>Inactive account login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AUTH-007</w:t>
              <w:br/>
              <w:t>Forced password-change enforcement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AUTH-008</w:t>
              <w:br/>
              <w:t>Complete forced password change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AUTH-009</w:t>
              <w:br/>
              <w:t>Password-change validation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AUTH-010</w:t>
              <w:br/>
              <w:t>Signed-in password change and sessions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AUTH-011</w:t>
              <w:br/>
              <w:t>Logout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tests/auth-flows.php; tests/logout-audit.php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AUTH-012</w:t>
              <w:br/>
              <w:t>Forgot password: known and unknown email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MAN-001, MAN-010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tests/auth-flows.php; tests/password-reset-migration-mysql.php (reset DB integration where relevant)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MAN-001, MAN-010;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AUTH-013</w:t>
              <w:br/>
              <w:t>Reset-request cooldown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MAN-001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tests/auth-flows.php; tests/password-reset-migration-mysql.php (reset DB integration where relevant)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MAN-001;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AUTH-014</w:t>
              <w:br/>
              <w:t>Successful password reset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MAN-001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tests/auth-flows.php; tests/password-reset-migration-mysql.php (reset DB integration where relevant)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MAN-001;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AUTH-015</w:t>
              <w:br/>
              <w:t>Invalid, expired and reused reset links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tests/auth-flows.php; tests/password-reset-migration-mysql.php (reset DB integration where relevant)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AUTH-016</w:t>
              <w:br/>
              <w:t>Reset-password validation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tests/auth-flows.php; tests/password-reset-migration-mysql.php (reset DB integration where relevant)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AUTH-017</w:t>
              <w:br/>
              <w:t>Login failure throttling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tests/auth-audit.php; tests/auth-flows.php; tests/rate-limit-audit.php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Admin Student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STU-001</w:t>
              <w:br/>
              <w:t>Add student and linked account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MAN-002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MAN-002;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STU-002</w:t>
              <w:br/>
              <w:t>Required, invalid and duplicate identity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STU-003</w:t>
              <w:br/>
              <w:t>Edit identity and synchronized login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STU-004</w:t>
              <w:br/>
              <w:t>Assign, reassign and unassign adviser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2F0D9"/>
          </w:tcPr>
          <w:p>
            <w:r>
              <w:rPr>
                <w:rFonts w:ascii="Arial" w:hAnsi="Arial"/>
                <w:b w:val="0"/>
                <w:sz w:val="14"/>
              </w:rPr>
              <w:t>Historical manual PASS recorded; final-SHA automated evidence still required.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STU-005</w:t>
              <w:br/>
              <w:t>Valid stage/status change with reason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STU-006</w:t>
              <w:br/>
              <w:t>Progress reason cannot be bypassed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STU-007</w:t>
              <w:br/>
              <w:t>Non-progress edit without reason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STU-008</w:t>
              <w:br/>
              <w:t>Protocol Code and Principal Investigator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STU-009</w:t>
              <w:br/>
              <w:t>Delete student and deactivate login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STU-010</w:t>
              <w:br/>
              <w:t>Cancel destructive or unsaved action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STU-011</w:t>
              <w:br/>
              <w:t>Stale edit after deletion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STU-012</w:t>
              <w:br/>
              <w:t>Repeated delete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STU-013</w:t>
              <w:br/>
              <w:t>Search and empty/error states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STU-014</w:t>
              <w:br/>
              <w:t>Setup-delivery failure during creation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MAN-002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MAN-002;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IERB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IERB-001</w:t>
              <w:br/>
              <w:t>Add IERB entry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IERB-002</w:t>
              <w:br/>
              <w:t>Edit entry requirements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IERB-003</w:t>
              <w:br/>
              <w:t>Stage/status save and mandatory reason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IERB-004</w:t>
              <w:br/>
              <w:t>Clear completed requirements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IERB-005</w:t>
              <w:br/>
              <w:t>Valid or absent submission date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IERB-006</w:t>
              <w:br/>
              <w:t>Invalid or future submission date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IERB-007</w:t>
              <w:br/>
              <w:t>Add and validate progress note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IERB-008</w:t>
              <w:br/>
              <w:t>IERB history and audit trail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IERB-009</w:t>
              <w:br/>
              <w:t>Search, stage and status filters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IERB-010</w:t>
              <w:br/>
              <w:t>Compact empty and populated chart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MAN-007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MAN-007;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IERB-011</w:t>
              <w:br/>
              <w:t>IERB delete and stale deletion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IERB-012</w:t>
              <w:br/>
              <w:t>Follow-up and admin override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MAN-005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tests/crud-audit.php; tests/backend-audit.php; academic API/catalog regression;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MAN-005;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NOTIF-001</w:t>
              <w:br/>
              <w:t>Admin send now to students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MAN-003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MAN-003;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NOTIF-002</w:t>
              <w:br/>
              <w:t>Admin adviser and combined audiences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MAN-003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MAN-003;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NOTIF-003</w:t>
              <w:br/>
              <w:t>Assigned-adviser notification scope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MAN-003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MAN-003;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NOTIF-004</w:t>
              <w:br/>
              <w:t>Exact research-group targeting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MAN-003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MAN-003;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NOTIF-005</w:t>
              <w:br/>
              <w:t>Empty or invalid audience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NOTIF-006</w:t>
              <w:br/>
              <w:t>Message length and requiredness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NOTIF-007</w:t>
              <w:br/>
              <w:t>Recipient-preview race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NOTIF-008</w:t>
              <w:br/>
              <w:t>Schedule future notification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MAN-004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MAN-004;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NOTIF-009</w:t>
              <w:br/>
              <w:t>Invalid schedule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NOTIF-010</w:t>
              <w:br/>
              <w:t>Scheduled CLI delivery and repeat run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MAN-004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MAN-004;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NOTIF-011</w:t>
              <w:br/>
              <w:t>History and details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NOTIF-012</w:t>
              <w:br/>
              <w:t>Student view and read actions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NOTIF-013</w:t>
              <w:br/>
              <w:t>Empty, error and responsive form states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MAN-007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worker/scheduler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MAN-007;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Dashboard /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REP-001</w:t>
              <w:br/>
              <w:t>Dashboard metrics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REP-002</w:t>
              <w:br/>
              <w:t>Dashboard search/filter/sort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REP-003</w:t>
              <w:br/>
              <w:t>Needs Attention reasons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REP-004</w:t>
              <w:br/>
              <w:t>Truthful Open Documents shortcut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REP-005</w:t>
              <w:br/>
              <w:t>AI summarized report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MAN-006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MAN-006;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REP-006</w:t>
              <w:br/>
              <w:t>AI full report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MAN-006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MAN-006;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REP-007</w:t>
              <w:br/>
              <w:t>Local report fallback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REP-008</w:t>
              <w:br/>
              <w:t>Report validation and generation state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REP-009</w:t>
              <w:br/>
              <w:t>History, PDF keyboard access and download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MAN-010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MAN-010;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REP-010</w:t>
              <w:br/>
              <w:t>CSV export scope and filters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REP-011</w:t>
              <w:br/>
              <w:t>Admin stage-label settings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REP-012</w:t>
              <w:br/>
              <w:t>Dashboard/report layout and load failures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MAN-007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tests/ui-audit.cjs; report-generation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MAN-007;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Activity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LOG-001</w:t>
              <w:br/>
              <w:t>Activity search and inclusive date range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LOG-002</w:t>
              <w:br/>
              <w:t>Overrides-only and full audit detail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LOG-003</w:t>
              <w:br/>
              <w:t>Latest response and empty/error state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LOG-004</w:t>
              <w:br/>
              <w:t>Responsive and keyboard filter controls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MAN-007, MAN-008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tests/backend-audit.php;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MAN-007, MAN-008;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Academic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ACA-001</w:t>
              <w:br/>
              <w:t>Catalog coverage in both forms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ACA-002</w:t>
              <w:br/>
              <w:t>Academic Unit filters Program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ACA-003</w:t>
              <w:br/>
              <w:t>Unit change clears incompatible selections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ACA-004</w:t>
              <w:br/>
              <w:t>Program determines allowed year levels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ACA-005</w:t>
              <w:br/>
              <w:t>Compatible year survives program change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ACA-006</w:t>
              <w:br/>
              <w:t>Incompatible year clears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ACA-007</w:t>
              <w:br/>
              <w:t>Academic Year is independent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ACA-008</w:t>
              <w:br/>
              <w:t>Explicit Academic Year allowlist and no default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ACA-009</w:t>
              <w:br/>
              <w:t>Persist 4-year program boundaries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ACA-010</w:t>
              <w:br/>
              <w:t>Persist 5-year program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ACA-011</w:t>
              <w:br/>
              <w:t>Persist 6-year programs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ACA-012</w:t>
              <w:br/>
              <w:t>Graduate program nullable values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ACA-013</w:t>
              <w:br/>
              <w:t>Graduate program and year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ACA-014</w:t>
              <w:br/>
              <w:t>Reject cross-unit and unknown keys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ACA-015</w:t>
              <w:br/>
              <w:t>Reject out-of-duration or unknown year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ACA-016</w:t>
              <w:br/>
              <w:t>Reject invalid Academic Years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ACA-017</w:t>
              <w:br/>
              <w:t>Reject non-string academic inputs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ACA-018</w:t>
              <w:br/>
              <w:t>Client duration cannot override catalog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ACA-019</w:t>
              <w:br/>
              <w:t>Canonical course label and arbitrary label rejection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ACA-020</w:t>
              <w:br/>
              <w:t>Long program label round-trip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ACA-021</w:t>
              <w:br/>
              <w:t>Edit valid academic record preselection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ACA-022</w:t>
              <w:br/>
              <w:t>Legacy free-text course preservation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ACA-023</w:t>
              <w:br/>
              <w:t>NULL and empty-string legacy preservation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ACA-024</w:t>
              <w:br/>
              <w:t>Unchanged edit omits academic fields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ACA-025</w:t>
              <w:br/>
              <w:t>Concurrent unrelated edit preserves newer academics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ACA-026</w:t>
              <w:br/>
              <w:t>Intentional legacy conversion and invalid clearing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ACA-027</w:t>
              <w:br/>
              <w:t>Keep existing academic values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ACA-028</w:t>
              <w:br/>
              <w:t>Academic accessibility and read-only summary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MAN-007, MAN-008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academic API/catalog regression; tests/academic-migration-audit.php where migration/legacy behavior applies;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MAN-007, MAN-008;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Role /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ROL-001</w:t>
              <w:br/>
              <w:t>Unauthenticated protected access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ROL-002</w:t>
              <w:br/>
              <w:t>Cross-role page routing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ROL-003</w:t>
              <w:br/>
              <w:t>Student denied administrative mutations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ROL-004</w:t>
              <w:br/>
              <w:t>Adviser scoped student list and management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ROL-005</w:t>
              <w:br/>
              <w:t>Adviser blocked from other student's mutation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ROL-006</w:t>
              <w:br/>
              <w:t>Adviser reassignment during edit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ROL-007</w:t>
              <w:br/>
              <w:t>Adviser IERB read/note versus save/delete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ROL-008</w:t>
              <w:br/>
              <w:t>Protected protocol/PI and adviser directory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ROL-009</w:t>
              <w:br/>
              <w:t>Student self-scope for IERB and documents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ROL-010</w:t>
              <w:br/>
              <w:t>Notification audience and mark-read ownership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ROL-011</w:t>
              <w:br/>
              <w:t>Reports: data scope, owner and deletion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ROL-012</w:t>
              <w:br/>
              <w:t>Audit scope and stage-label permissions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tests/document-workflow-audit.php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Adviser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ADV-001</w:t>
              <w:br/>
              <w:t>Assigned student/document views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ADV-002</w:t>
              <w:br/>
              <w:t>Review pending document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MAN-009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MAN-009;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ADV-003</w:t>
              <w:br/>
              <w:t>Approve current document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MAN-009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MAN-009;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ADV-004</w:t>
              <w:br/>
              <w:t>Request resubmission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MAN-009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MAN-009;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ADV-005</w:t>
              <w:br/>
              <w:t>Deny document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MAN-009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MAN-009;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ADV-006</w:t>
              <w:br/>
              <w:t>Required review remarks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ADV-007</w:t>
              <w:br/>
              <w:t>Cross-adviser review rejection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ADV-008</w:t>
              <w:br/>
              <w:t>Admin override and both advancement modes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Document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DOC-001</w:t>
              <w:br/>
              <w:t>Upload valid document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MAN-009, MAN-010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MAN-009, MAN-010;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DOC-002</w:t>
              <w:br/>
              <w:t>Upload validation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DOC-003</w:t>
              <w:br/>
              <w:t>Student upload identity and stage tampering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DOC-004</w:t>
              <w:br/>
              <w:t>Approval exposes formal-submit action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MAN-009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MAN-009;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DOC-005</w:t>
              <w:br/>
              <w:t>Formal submission success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MAN-009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MAN-009;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DOC-006</w:t>
              <w:br/>
              <w:t>Reject premature or duplicate formal submission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DOC-007</w:t>
              <w:br/>
              <w:t>Revision and re-upload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MAN-009 for external/subjective portion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MAN-009; 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DOC-008</w:t>
              <w:br/>
              <w:t>Version history and separate chains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DOC-009</w:t>
              <w:br/>
              <w:t>Stale/older version mutations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DOC-010</w:t>
              <w:br/>
              <w:t>Locked submitted-state rules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DOC-011</w:t>
              <w:br/>
              <w:t>Delete current version restores predecessor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Independent challenge optional/risk-based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DOC-012</w:t>
              <w:br/>
              <w:t>Submitted document deletion controls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DOC-013</w:t>
              <w:br/>
              <w:t>Admin formal submission without prior approval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DOC-014</w:t>
              <w:br/>
              <w:t>Concurrent uploads in one version chain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DOC-015</w:t>
              <w:br/>
              <w:t>Concurrent review/submission/delete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DOC-016</w:t>
              <w:br/>
              <w:t>Stage mismatch and Completed boundary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tests/document-workflow-audit.php; 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SEC-001</w:t>
              <w:br/>
              <w:t>Same-origin AJAX and forms remain valid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SEC-002</w:t>
              <w:br/>
              <w:t>Cross-origin, absent-origin and method rejection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SEC-003</w:t>
              <w:br/>
              <w:t>Direct includes/storage/test access denied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SEC-004</w:t>
              <w:br/>
              <w:t>Unauthorized document IDs and path substitution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SEC-005</w:t>
              <w:br/>
              <w:t>Uploaded content cannot execute scripts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SEC-006</w:t>
              <w:br/>
              <w:t>Dynamic text is escaped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SEC-007</w:t>
              <w:br/>
              <w:t>Security headers and existing inline UI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SEC-008</w:t>
              <w:br/>
              <w:t>Safe database failure response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SEC-009</w:t>
              <w:br/>
              <w:t>Reset limits and canonical-URL misconfiguration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tests/rate-limit-audit.php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SEC-010</w:t>
              <w:br/>
              <w:t>Admin-registration code throttling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tests/rate-limit-audit.php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SEC-011</w:t>
              <w:br/>
              <w:t>Production provisioning omits plaintext credentials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MAN-002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MAN-002;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SEC-012</w:t>
              <w:br/>
              <w:t>Session deactivation and password-race protection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tests/auth-flows.php; tests/logout-audit.php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SEC-013</w:t>
              <w:br/>
              <w:t>CSV formula neutralization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SEC-014</w:t>
              <w:br/>
              <w:t>Nested navigation and keyboard regression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MAN-007, MAN-008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tests/security-audit.php; tests/backend-audit.php; tests/ui-audit.cjs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MAN-007, MAN-008;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Pending final-SHA audit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305480"/>
          <w:sz w:val="23"/>
        </w:rPr>
        <w:t>Migration /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448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 / Original case</w:t>
            </w:r>
          </w:p>
        </w:tc>
        <w:tc>
          <w:tcPr>
            <w:tcW w:type="dxa" w:w="360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Execution method / owner</w:t>
            </w:r>
          </w:p>
        </w:tc>
        <w:tc>
          <w:tcPr>
            <w:tcW w:type="dxa" w:w="453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Automated evidence target</w:t>
            </w:r>
          </w:p>
        </w:tc>
        <w:tc>
          <w:tcPr>
            <w:tcW w:type="dxa" w:w="3096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link / independent review</w:t>
            </w:r>
          </w:p>
        </w:tc>
        <w:tc>
          <w:tcPr>
            <w:tcW w:type="dxa" w:w="2880"/>
            <w:shd w:fill="1F4E7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Current evidence status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MIG-001</w:t>
              <w:br/>
              <w:t>Verified backup and disposable restore prerequisite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MAN-011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MAN-011;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MIG-002</w:t>
              <w:br/>
              <w:t>v4 ordinary startup is blocked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MIG-003</w:t>
              <w:br/>
              <w:t>Migration entry point is not web-runnable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MIG-004</w:t>
              <w:br/>
              <w:t>CLI requires exact apply argument and opt-in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MIG-005</w:t>
              <w:br/>
              <w:t>Authorized v4 migration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MAN-011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MAN-011;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MIG-006</w:t>
              <w:br/>
              <w:t>Course widening and attribute preservation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MIG-007</w:t>
              <w:br/>
              <w:t>Nullable academic columns added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MIG-008</w:t>
              <w:br/>
              <w:t>Legacy byte-for-byte and row-count preservation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MIG-009</w:t>
              <w:br/>
              <w:t>Safe rerun and normal v5 startup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MAN-011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MAN-011;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MIG-010</w:t>
              <w:br/>
              <w:t>Partial DDL failure and retry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MIG-011</w:t>
              <w:br/>
              <w:t>Concurrent migration lock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MIG-012</w:t>
              <w:br/>
              <w:t>Adequate-width, text and unsupported course types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MIG-013</w:t>
              <w:br/>
              <w:t>Fresh schema and initial administrator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  <w:tr>
        <w:trPr>
          <w:cantSplit/>
        </w:trPr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MIG-014</w:t>
              <w:br/>
              <w:t>Real persistence and end-to-end integration smoke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Astra automated technical verification + human MAN-011 for external/subjective portion + independent Claude/Grok challenge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r>
              <w:rPr>
                <w:rFonts w:ascii="Arial" w:hAnsi="Arial"/>
                <w:b w:val="0"/>
                <w:sz w:val="14"/>
              </w:rPr>
              <w:t>tests/schema-v6-audit.php; tests/schema-v6-mysql.php; tests/migration-cli-audit.php; tests/academic-migration-audit.php; tests/password-reset-migration-mysql.php as applicable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FF4CE"/>
          </w:tcPr>
          <w:p>
            <w:r>
              <w:rPr>
                <w:rFonts w:ascii="Arial" w:hAnsi="Arial"/>
                <w:b w:val="0"/>
                <w:sz w:val="14"/>
              </w:rPr>
              <w:t>MAN-011; Independent challenge REQUIRED</w:t>
            </w:r>
          </w:p>
        </w:tc>
        <w:tc>
          <w:tcPr>
            <w:tcW w:type="dxa" w:w="29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E4DFEC"/>
          </w:tcPr>
          <w:p>
            <w:r>
              <w:rPr>
                <w:rFonts w:ascii="Arial" w:hAnsi="Arial"/>
                <w:b w:val="0"/>
                <w:sz w:val="14"/>
              </w:rPr>
              <w:t>Original wording is v5-oriented; update/map to current v6 evidence during final audit.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183E6B"/>
          <w:sz w:val="28"/>
        </w:rPr>
        <w:t>4. Final Audit Completion Fields</w:t>
      </w:r>
    </w:p>
    <w:p>
      <w:r>
        <w:rPr>
          <w:rFonts w:ascii="Arial" w:hAnsi="Arial"/>
          <w:b w:val="0"/>
          <w:sz w:val="17"/>
        </w:rPr>
        <w:t>During the final Astra audit, replace “Pending final-SHA audit evidence” with concrete references such as the exact command, suite/case/assertion identifier, result count, runtime version, and any defect/fix reference. Do not use a blanket suite-pass count as a substitute for case-level traceability where the behavior is not actually asserted.</w:t>
      </w:r>
    </w:p>
    <w:p>
      <w:pPr>
        <w:pStyle w:val="ListBullet"/>
        <w:spacing w:after="30"/>
      </w:pPr>
      <w:r>
        <w:rPr>
          <w:rFonts w:ascii="Arial" w:hAnsi="Arial"/>
          <w:b w:val="0"/>
          <w:sz w:val="16"/>
        </w:rPr>
        <w:t>Coverage gap: no credible assertion/evidence exists - must be fixed or explicitly Blocked before a complete verification claim.</w:t>
      </w:r>
    </w:p>
    <w:p>
      <w:pPr>
        <w:pStyle w:val="ListBullet"/>
        <w:spacing w:after="30"/>
      </w:pPr>
      <w:r>
        <w:rPr>
          <w:rFonts w:ascii="Arial" w:hAnsi="Arial"/>
          <w:b w:val="0"/>
          <w:sz w:val="16"/>
        </w:rPr>
        <w:t>Partial coverage: some expected behavior is asserted but one path/layer remains unproven - add a test or map the MAN portion.</w:t>
      </w:r>
    </w:p>
    <w:p>
      <w:pPr>
        <w:pStyle w:val="ListBullet"/>
        <w:spacing w:after="30"/>
      </w:pPr>
      <w:r>
        <w:rPr>
          <w:rFonts w:ascii="Arial" w:hAnsi="Arial"/>
          <w:b w:val="0"/>
          <w:sz w:val="16"/>
        </w:rPr>
        <w:t>Technical Passed: exact final-SHA executable evidence exists and no unresolved defect affects the expected result.</w:t>
      </w:r>
    </w:p>
    <w:p>
      <w:pPr>
        <w:pStyle w:val="ListBullet"/>
        <w:spacing w:after="30"/>
      </w:pPr>
      <w:r>
        <w:rPr>
          <w:rFonts w:ascii="Arial" w:hAnsi="Arial"/>
          <w:b w:val="0"/>
          <w:sz w:val="16"/>
        </w:rPr>
        <w:t>Manual Passed/Blocked: use only for the specific MAN case outcome; it does not automatically certify the technical portion.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E6E6E"/>
        <w:sz w:val="14"/>
      </w:rPr>
      <w:t>Code baseline ef6dc8d7fc02 | 164 original IDs | Schema v6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F5F5F"/>
        <w:sz w:val="15"/>
      </w:rPr>
      <w:t>PRISM - Technical Test Traceability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E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548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E6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Technical Test Traceability Matrix</dc:title>
  <dc:subject/>
  <dc:creator>PRISM 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