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Student name: Maria Santos</w:t>
      </w:r>
    </w:p>
    <w:p>
      <w:r>
        <w:t xml:space="preserve">Student ID: 2026-12345</w:t>
      </w:r>
    </w:p>
    <w:p>
      <w:r>
        <w:t xml:space="preserve">Protocol code: CEU-IERB-2026-071</w:t>
      </w:r>
    </w:p>
    <w:p>
      <w:r>
        <w:t xml:space="preserve">Email: maria@example.test</w:t>
      </w:r>
    </w:p>
    <w:p>
      <w:r>
        <w:t xml:space="preserve">Purpose: This research protocol examines access to digital library services among university students.</w:t>
      </w:r>
    </w:p>
    <w:p>
      <w:r>
        <w:t xml:space="preserve">Methodology: The study uses an anonymous questionnaire and descriptive analysis of responses.</w:t>
      </w:r>
    </w:p>
    <w:p>
      <w:r>
        <w:t xml:space="preserve">Sampling: Recruitment is voluntary and participants may decline any question without penalty.</w:t>
      </w:r>
    </w:p>
    <w:p>
      <w:r>
        <w:t xml:space="preserve">Ethics: Participants will provide informed consent before completing the questionnaire.</w:t>
      </w:r>
    </w:p>
    <w:p>
      <w:r>
        <w:t xml:space="preserve">Privacy: The team will store de-identified responses in an access-controlled university repository.</w:t>
      </w:r>
    </w:p>
    <w:p>
      <w:r>
        <w:t xml:space="preserve">Submission information: The protocol and participant information sheet are supplied for IERB review.</w:t>
      </w:r>
    </w:p>
    <w:p>
      <w:r>
        <w:t xml:space="preserve">Approval date: Not recorded. The protocol does not assert that ethical approval has been granted.</w:t>
      </w:r>
    </w:p>
    <w:p>
      <w:r>
        <w:t xml:space="preserve">Limitations: Convenience sampling may limit applicability beyond the participating university.</w:t>
      </w:r>
    </w:p>
    <w:p>
      <w:r>
        <w:t xml:space="preserve">Data handling: The research team will delete contact information after recruitment.</w:t>
      </w:r>
    </w:p>
    <w:p>
      <w:r>
        <w:t xml:space="preserve">Analysis: Counts and percentages will describe access patterns; no causal claims are planned.</w:t>
      </w:r>
    </w:p>
    <w:p>
      <w:r>
        <w:t xml:space="preserve">Résumé: café resources are available. A participant may withdraw before anonymization.</w:t>
      </w:r>
    </w:p>
    <w:tbl>
      <w:tr>
        <w:tc>
          <w:p>
            <w:r>
              <w:t>Table methodology</w:t>
            </w:r>
          </w:p>
        </w:tc>
        <w:tc>
          <w:p>
            <w:r>
              <w:t>Anonymous questionnaire</w:t>
            </w:r>
          </w:p>
        </w:tc>
      </w:tr>
    </w:tbl>
  </w:body>
</w:document>
</file>