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Abstentions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MALs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printed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printed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ExComm duties</w:t>
      </w:r>
    </w:p>
    <w:p>
      <w:pPr>
        <w:pStyle w:val="Compact"/>
        <w:numPr>
          <w:numId w:val="1128"/>
          <w:ilvl w:val="1"/>
        </w:numPr>
      </w:pPr>
      <w:r>
        <w:t xml:space="preserve">V.I: Allow Senate Chair to call special meetings.</w:t>
      </w:r>
    </w:p>
    <w:p>
      <w:pPr>
        <w:pStyle w:val="Compact"/>
        <w:numPr>
          <w:numId w:val="1128"/>
          <w:ilvl w:val="1"/>
        </w:numPr>
      </w:pPr>
      <w:r>
        <w:t xml:space="preserve">VII.XI.B: Make CoSO, instead of ExComm,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ExComm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cabc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77477cf6"/>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eb6b58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bb053e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1f99661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680749b8"/>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35ff979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f527a3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15da4e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2017-04-04T01:51:52Z</dcterms:created>
  <dcterms:modified xsi:type="dcterms:W3CDTF">2017-04-04T01:51:52Z</dcterms:modified>
</cp:coreProperties>
</file>