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23" w:rsidRDefault="002B5B23" w:rsidP="002B5B23">
      <w:pPr>
        <w:pStyle w:val="1"/>
      </w:pPr>
      <w:r>
        <w:t>Описание прикладного функционала</w:t>
      </w:r>
    </w:p>
    <w:p w:rsidR="002B5B23" w:rsidRDefault="002B5B23" w:rsidP="002B5B23">
      <w:pPr>
        <w:pStyle w:val="2"/>
      </w:pPr>
      <w:r>
        <w:t>Банковские продукты</w:t>
      </w:r>
    </w:p>
    <w:p w:rsidR="002B5B23" w:rsidRDefault="002B5B23" w:rsidP="002B5B23">
      <w:r>
        <w:t>Типовые банковские продукты для физических лиц, поддерживаемые системой: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карточный счёт (дебетовая карта)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кредитная карта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текущий счёт, вклад «до востребования»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срочный вклад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мультивалютный вклад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кредит</w:t>
      </w:r>
    </w:p>
    <w:p w:rsidR="002B5B23" w:rsidRDefault="006E40C1" w:rsidP="002B5B23">
      <w:pPr>
        <w:pStyle w:val="a3"/>
        <w:numPr>
          <w:ilvl w:val="0"/>
          <w:numId w:val="6"/>
        </w:numPr>
      </w:pPr>
      <w:r>
        <w:t>перевод</w:t>
      </w:r>
      <w:r w:rsidR="002B5B23">
        <w:t xml:space="preserve"> поставщик</w:t>
      </w:r>
      <w:r>
        <w:t>у</w:t>
      </w:r>
      <w:r w:rsidR="002B5B23">
        <w:t xml:space="preserve"> услуг (</w:t>
      </w:r>
      <w:r>
        <w:t>из списка</w:t>
      </w:r>
      <w:r w:rsidR="002B5B23">
        <w:t>)</w:t>
      </w:r>
    </w:p>
    <w:p w:rsidR="002B062E" w:rsidRDefault="002B062E" w:rsidP="002B5B23">
      <w:pPr>
        <w:pStyle w:val="a3"/>
        <w:numPr>
          <w:ilvl w:val="0"/>
          <w:numId w:val="6"/>
        </w:numPr>
      </w:pPr>
      <w:r>
        <w:t>периодический перевод</w:t>
      </w:r>
      <w:r w:rsidR="006B1BD4">
        <w:t xml:space="preserve"> (поручение банку о </w:t>
      </w:r>
      <w:proofErr w:type="spellStart"/>
      <w:r w:rsidR="006B1BD4">
        <w:t>безакцептном</w:t>
      </w:r>
      <w:proofErr w:type="spellEnd"/>
      <w:r w:rsidR="006B1BD4">
        <w:t xml:space="preserve"> списании по графику)</w:t>
      </w:r>
    </w:p>
    <w:p w:rsidR="002B062E" w:rsidRDefault="002B062E" w:rsidP="002B5B23">
      <w:pPr>
        <w:pStyle w:val="a3"/>
        <w:numPr>
          <w:ilvl w:val="0"/>
          <w:numId w:val="6"/>
        </w:numPr>
      </w:pPr>
      <w:proofErr w:type="spellStart"/>
      <w:r>
        <w:t>автоплатёж</w:t>
      </w:r>
      <w:proofErr w:type="spellEnd"/>
      <w:r>
        <w:t xml:space="preserve"> (поручение банку о </w:t>
      </w:r>
      <w:proofErr w:type="spellStart"/>
      <w:r>
        <w:t>безакцептном</w:t>
      </w:r>
      <w:proofErr w:type="spellEnd"/>
      <w:r>
        <w:t xml:space="preserve"> списании </w:t>
      </w:r>
      <w:r w:rsidR="006B1BD4">
        <w:t>при появлении задолженности</w:t>
      </w:r>
      <w:r>
        <w:t>)</w:t>
      </w:r>
    </w:p>
    <w:p w:rsidR="002B5B23" w:rsidRDefault="006E40C1" w:rsidP="002B5B23">
      <w:pPr>
        <w:pStyle w:val="a3"/>
        <w:numPr>
          <w:ilvl w:val="0"/>
          <w:numId w:val="6"/>
        </w:numPr>
      </w:pPr>
      <w:r>
        <w:t>заявление</w:t>
      </w:r>
    </w:p>
    <w:p w:rsidR="002B5B23" w:rsidRDefault="002B5B23" w:rsidP="002B5B23">
      <w:pPr>
        <w:pStyle w:val="2"/>
      </w:pPr>
      <w:r>
        <w:t>Небанковские продукты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 задолженности перед поставщиком услуги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 задолженности в Федеральном казначействе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информация об остатке наличных денег («кошелёк»)</w:t>
      </w:r>
    </w:p>
    <w:p w:rsidR="002B5B23" w:rsidRDefault="002B5B23" w:rsidP="002B5B23">
      <w:pPr>
        <w:pStyle w:val="a3"/>
        <w:numPr>
          <w:ilvl w:val="0"/>
          <w:numId w:val="6"/>
        </w:numPr>
      </w:pPr>
      <w:r>
        <w:t>целевое сбережение</w:t>
      </w:r>
      <w:r w:rsidR="00AE4864">
        <w:t xml:space="preserve"> («копилка»)</w:t>
      </w:r>
    </w:p>
    <w:p w:rsidR="00224992" w:rsidRDefault="00224992" w:rsidP="002B5B23">
      <w:pPr>
        <w:pStyle w:val="a3"/>
        <w:numPr>
          <w:ilvl w:val="0"/>
          <w:numId w:val="6"/>
        </w:numPr>
      </w:pPr>
      <w:r>
        <w:t>долги (</w:t>
      </w:r>
      <w:r w:rsidR="006E40C1">
        <w:t>«получено в долг», «отдано в долг»)</w:t>
      </w:r>
    </w:p>
    <w:p w:rsidR="005A2529" w:rsidRDefault="00E83D12" w:rsidP="006E40C1">
      <w:pPr>
        <w:pStyle w:val="a3"/>
        <w:numPr>
          <w:ilvl w:val="0"/>
          <w:numId w:val="6"/>
        </w:numPr>
      </w:pPr>
      <w:r>
        <w:t>расходы</w:t>
      </w:r>
      <w:r w:rsidR="006E40C1">
        <w:t xml:space="preserve"> (по категориям и подкатегориям)</w:t>
      </w:r>
    </w:p>
    <w:p w:rsidR="002B5B23" w:rsidRDefault="002B5B23" w:rsidP="002B5B23">
      <w:r>
        <w:t xml:space="preserve">Банковский </w:t>
      </w:r>
      <w:r w:rsidR="006E40C1">
        <w:t xml:space="preserve">и небанковский </w:t>
      </w:r>
      <w:r>
        <w:t>продукт предоставляется клиенту путём информирования и выполнения операций (распоряжений клиента):</w:t>
      </w:r>
    </w:p>
    <w:tbl>
      <w:tblPr>
        <w:tblStyle w:val="a4"/>
        <w:tblW w:w="0" w:type="auto"/>
        <w:tblLook w:val="04A0"/>
      </w:tblPr>
      <w:tblGrid>
        <w:gridCol w:w="2297"/>
        <w:gridCol w:w="3785"/>
        <w:gridCol w:w="3489"/>
      </w:tblGrid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pPr>
              <w:jc w:val="center"/>
            </w:pPr>
            <w:r>
              <w:t>банковский продукт</w:t>
            </w:r>
          </w:p>
        </w:tc>
        <w:tc>
          <w:tcPr>
            <w:tcW w:w="3785" w:type="dxa"/>
          </w:tcPr>
          <w:p w:rsidR="002B5B23" w:rsidRDefault="002B5B23" w:rsidP="003D23BB">
            <w:pPr>
              <w:jc w:val="center"/>
            </w:pPr>
            <w:r>
              <w:t>информирование</w:t>
            </w:r>
          </w:p>
        </w:tc>
        <w:tc>
          <w:tcPr>
            <w:tcW w:w="3489" w:type="dxa"/>
          </w:tcPr>
          <w:p w:rsidR="002B5B23" w:rsidRDefault="002B5B23" w:rsidP="003D23BB">
            <w:pPr>
              <w:jc w:val="center"/>
            </w:pPr>
            <w:r>
              <w:t>операции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карточный счёт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остаток, овердрафт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доступные и заблокированные средства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карт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реквизиты и состояние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лимиты операций по карте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карте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выпуск доп</w:t>
            </w:r>
            <w:proofErr w:type="gramStart"/>
            <w:r>
              <w:t>.к</w:t>
            </w:r>
            <w:proofErr w:type="gramEnd"/>
            <w:r>
              <w:t>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</w:t>
            </w:r>
            <w:proofErr w:type="spellStart"/>
            <w:r>
              <w:t>перевыпуск</w:t>
            </w:r>
            <w:proofErr w:type="spellEnd"/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блокировку 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изменение лимитов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счёта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lastRenderedPageBreak/>
              <w:t>кредитная карта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доступные и заблокированные средства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кредитный лимит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процентная ставка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задолженности по кредиту и процентам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дата гашения задолженности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карт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реквизиты и состояние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лимиты операций по карте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карте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гашение задолженности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</w:t>
            </w:r>
            <w:proofErr w:type="spellStart"/>
            <w:r>
              <w:t>перевыпуск</w:t>
            </w:r>
            <w:proofErr w:type="spellEnd"/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 xml:space="preserve">заявление на блокировку 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на изменение лимитов карты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карты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текущий счёт, вклад «до востребования»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на другой (свой) счёт с конвертацией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валютный перевод третьим лицам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оплата услуг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срочный вклад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счёту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пополнение счёта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мультивалютный вклад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остаток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банковские реквизиты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операций по счетам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пополнение счёта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конвертация между счетами вклада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заявление о закрытии вклада</w:t>
            </w:r>
          </w:p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кредит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текущая задолженность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дата и сумма очередного платежа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условия (процентная ставка и пр.)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суммы начисленных и погашенных процентов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график платежей</w:t>
            </w:r>
          </w:p>
          <w:p w:rsidR="002B5B23" w:rsidRDefault="002B5B23" w:rsidP="002B5B23">
            <w:pPr>
              <w:pStyle w:val="a3"/>
              <w:numPr>
                <w:ilvl w:val="0"/>
                <w:numId w:val="7"/>
              </w:numPr>
            </w:pPr>
            <w:r>
              <w:t>список фактических операций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частичное досрочное гашение</w:t>
            </w:r>
          </w:p>
          <w:p w:rsidR="002B5B23" w:rsidRDefault="002B5B23" w:rsidP="002B5B23">
            <w:pPr>
              <w:pStyle w:val="a3"/>
              <w:numPr>
                <w:ilvl w:val="0"/>
                <w:numId w:val="8"/>
              </w:numPr>
            </w:pPr>
            <w:r>
              <w:t>полное досрочное гашение</w:t>
            </w:r>
          </w:p>
          <w:p w:rsidR="002B5B23" w:rsidRDefault="002B5B23" w:rsidP="003D23BB"/>
        </w:tc>
      </w:tr>
      <w:tr w:rsidR="002B5B23" w:rsidTr="006B1BD4">
        <w:trPr>
          <w:cantSplit/>
        </w:trPr>
        <w:tc>
          <w:tcPr>
            <w:tcW w:w="2297" w:type="dxa"/>
          </w:tcPr>
          <w:p w:rsidR="002B5B23" w:rsidRDefault="002B5B23" w:rsidP="003D23BB">
            <w:r>
              <w:t>переводы поставщикам услуг (оплата)</w:t>
            </w:r>
          </w:p>
        </w:tc>
        <w:tc>
          <w:tcPr>
            <w:tcW w:w="3785" w:type="dxa"/>
          </w:tcPr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список поставщиков услуг для оплаты</w:t>
            </w:r>
            <w:r w:rsidR="002B062E">
              <w:t xml:space="preserve"> (по категориям поставщиков)</w:t>
            </w:r>
          </w:p>
          <w:p w:rsidR="002B062E" w:rsidRDefault="002B062E" w:rsidP="002B062E">
            <w:pPr>
              <w:pStyle w:val="a3"/>
              <w:numPr>
                <w:ilvl w:val="0"/>
                <w:numId w:val="9"/>
              </w:numPr>
            </w:pPr>
            <w:r>
              <w:t>списки отправленных, исполненных и отказанных переводов</w:t>
            </w:r>
          </w:p>
        </w:tc>
        <w:tc>
          <w:tcPr>
            <w:tcW w:w="3489" w:type="dxa"/>
          </w:tcPr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перевод средств поставщику услуги</w:t>
            </w:r>
          </w:p>
          <w:p w:rsidR="002B5B23" w:rsidRDefault="002B5B23" w:rsidP="002B5B23">
            <w:pPr>
              <w:pStyle w:val="a3"/>
              <w:numPr>
                <w:ilvl w:val="0"/>
                <w:numId w:val="9"/>
              </w:numPr>
            </w:pPr>
            <w:r>
              <w:t>заявление на периодический перевод средств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lastRenderedPageBreak/>
              <w:t>периодический перевод</w:t>
            </w:r>
          </w:p>
        </w:tc>
        <w:tc>
          <w:tcPr>
            <w:tcW w:w="3785" w:type="dxa"/>
          </w:tcPr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>список действующих периодических переводов</w:t>
            </w:r>
          </w:p>
          <w:p w:rsidR="006B1BD4" w:rsidRDefault="006B1BD4" w:rsidP="006B1BD4">
            <w:pPr>
              <w:pStyle w:val="a3"/>
              <w:numPr>
                <w:ilvl w:val="0"/>
                <w:numId w:val="9"/>
              </w:numPr>
            </w:pPr>
            <w:r>
              <w:t xml:space="preserve">список </w:t>
            </w:r>
            <w:r>
              <w:t>отменённых</w:t>
            </w:r>
            <w:r>
              <w:t xml:space="preserve"> периодических переводов</w:t>
            </w: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>создание</w:t>
            </w:r>
          </w:p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отмена </w:t>
            </w:r>
            <w:proofErr w:type="gramStart"/>
            <w:r>
              <w:t>действующего</w:t>
            </w:r>
            <w:proofErr w:type="gramEnd"/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proofErr w:type="spellStart"/>
            <w:r>
              <w:t>автоплатёж</w:t>
            </w:r>
            <w:proofErr w:type="spellEnd"/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список </w:t>
            </w:r>
            <w:proofErr w:type="gramStart"/>
            <w:r>
              <w:t>действующих</w:t>
            </w:r>
            <w:proofErr w:type="gramEnd"/>
            <w:r>
              <w:t xml:space="preserve"> </w:t>
            </w:r>
            <w:proofErr w:type="spellStart"/>
            <w:r>
              <w:t>автоплатежей</w:t>
            </w:r>
            <w:proofErr w:type="spellEnd"/>
          </w:p>
          <w:p w:rsidR="006B1BD4" w:rsidRDefault="006B1BD4" w:rsidP="002B5B23">
            <w:pPr>
              <w:pStyle w:val="a3"/>
              <w:numPr>
                <w:ilvl w:val="0"/>
                <w:numId w:val="9"/>
              </w:numPr>
            </w:pPr>
            <w:r>
              <w:t xml:space="preserve">список </w:t>
            </w:r>
            <w:proofErr w:type="gramStart"/>
            <w:r>
              <w:t>отменённых</w:t>
            </w:r>
            <w:proofErr w:type="gramEnd"/>
            <w:r>
              <w:t xml:space="preserve"> </w:t>
            </w:r>
            <w:proofErr w:type="spellStart"/>
            <w:r>
              <w:t>автоплатежей</w:t>
            </w:r>
            <w:proofErr w:type="spellEnd"/>
          </w:p>
        </w:tc>
        <w:tc>
          <w:tcPr>
            <w:tcW w:w="3489" w:type="dxa"/>
          </w:tcPr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>создание</w:t>
            </w:r>
          </w:p>
          <w:p w:rsidR="006B1BD4" w:rsidRDefault="006B1BD4" w:rsidP="003D23BB">
            <w:pPr>
              <w:pStyle w:val="a3"/>
              <w:numPr>
                <w:ilvl w:val="0"/>
                <w:numId w:val="9"/>
              </w:numPr>
            </w:pPr>
            <w:r>
              <w:t xml:space="preserve">отмена </w:t>
            </w:r>
            <w:proofErr w:type="gramStart"/>
            <w:r>
              <w:t>действующего</w:t>
            </w:r>
            <w:proofErr w:type="gramEnd"/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t>заявления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список заявлений для подачи в банк</w:t>
            </w:r>
          </w:p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списки отправленных, исполненных и отказанных заявлений</w:t>
            </w: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  <w:r>
              <w:t>заполнение заявления и отправка в банк</w:t>
            </w:r>
          </w:p>
          <w:p w:rsidR="006B1BD4" w:rsidRDefault="006B1BD4" w:rsidP="003D23BB">
            <w:pPr>
              <w:pStyle w:val="a3"/>
            </w:pPr>
          </w:p>
        </w:tc>
      </w:tr>
      <w:tr w:rsidR="006B1BD4" w:rsidTr="006223D1">
        <w:trPr>
          <w:cantSplit/>
        </w:trPr>
        <w:tc>
          <w:tcPr>
            <w:tcW w:w="9571" w:type="dxa"/>
            <w:gridSpan w:val="3"/>
          </w:tcPr>
          <w:p w:rsidR="006B1BD4" w:rsidRPr="006B1BD4" w:rsidRDefault="006B1BD4" w:rsidP="006B1BD4">
            <w:r>
              <w:t>Небанковские продукты</w:t>
            </w: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>
              <w:t>информация о задолженности перед поставщиком услуги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Default="006B1BD4" w:rsidP="003D23BB">
            <w:r w:rsidRPr="006B1BD4">
              <w:t>информация о задолженности в Федеральном казначействе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Pr="006B1BD4" w:rsidRDefault="006B1BD4" w:rsidP="006B1BD4">
            <w:r w:rsidRPr="006B1BD4">
              <w:t>информация об остатке наличных денег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Pr="006B1BD4" w:rsidRDefault="006B1BD4" w:rsidP="006B1BD4">
            <w:r w:rsidRPr="006B1BD4">
              <w:t xml:space="preserve">целевое сбережение 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Pr="006B1BD4" w:rsidRDefault="006B1BD4" w:rsidP="003D23BB">
            <w:r w:rsidRPr="006B1BD4">
              <w:t>долги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  <w:tr w:rsidR="006B1BD4" w:rsidTr="006B1BD4">
        <w:trPr>
          <w:cantSplit/>
        </w:trPr>
        <w:tc>
          <w:tcPr>
            <w:tcW w:w="2297" w:type="dxa"/>
          </w:tcPr>
          <w:p w:rsidR="006B1BD4" w:rsidRPr="006B1BD4" w:rsidRDefault="006B1BD4" w:rsidP="003D23BB">
            <w:r w:rsidRPr="006B1BD4">
              <w:t>расходы</w:t>
            </w:r>
          </w:p>
        </w:tc>
        <w:tc>
          <w:tcPr>
            <w:tcW w:w="3785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489" w:type="dxa"/>
          </w:tcPr>
          <w:p w:rsidR="006B1BD4" w:rsidRDefault="006B1BD4" w:rsidP="002B5B23">
            <w:pPr>
              <w:pStyle w:val="a3"/>
              <w:numPr>
                <w:ilvl w:val="0"/>
                <w:numId w:val="10"/>
              </w:numPr>
            </w:pPr>
          </w:p>
        </w:tc>
      </w:tr>
    </w:tbl>
    <w:p w:rsidR="006B1BD4" w:rsidRPr="006B1BD4" w:rsidRDefault="006B1BD4" w:rsidP="006B1BD4"/>
    <w:p w:rsidR="002B5B23" w:rsidRDefault="002B5B23" w:rsidP="002B5B23">
      <w:pPr>
        <w:pStyle w:val="2"/>
      </w:pPr>
      <w:r>
        <w:t>Спецификация клиентского функционала</w:t>
      </w:r>
    </w:p>
    <w:p w:rsidR="002B5B23" w:rsidRDefault="002B5B23" w:rsidP="002B5B23">
      <w:r>
        <w:t xml:space="preserve">Авторизация, безопасность, </w:t>
      </w:r>
      <w:proofErr w:type="spellStart"/>
      <w:r>
        <w:t>персонализация</w:t>
      </w:r>
      <w:proofErr w:type="spellEnd"/>
    </w:p>
    <w:p w:rsidR="002B5B23" w:rsidRDefault="002B5B23" w:rsidP="002B5B23">
      <w:pPr>
        <w:pStyle w:val="a3"/>
        <w:numPr>
          <w:ilvl w:val="0"/>
          <w:numId w:val="1"/>
        </w:numPr>
      </w:pPr>
      <w:r>
        <w:t>вход в систему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смена логина, пароля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просмотр своих логов</w:t>
      </w:r>
    </w:p>
    <w:p w:rsidR="002B5B23" w:rsidRDefault="002B5B23" w:rsidP="002B5B23">
      <w:pPr>
        <w:pStyle w:val="a3"/>
        <w:numPr>
          <w:ilvl w:val="0"/>
          <w:numId w:val="1"/>
        </w:numPr>
      </w:pPr>
      <w:r>
        <w:t>просмотр лимитов платежей</w:t>
      </w:r>
    </w:p>
    <w:p w:rsidR="002B5B23" w:rsidRDefault="002B5B23" w:rsidP="002B5B23">
      <w:r>
        <w:t>Доступ к информированию по банковским услугам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вывод списка подключенных услуг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подробная информация по услуге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выписки по услуге (списки транзакций и т.п.)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печать информации по услуге и списков, экспорт списков в файл</w:t>
      </w:r>
    </w:p>
    <w:p w:rsidR="002B5B23" w:rsidRDefault="002B5B23" w:rsidP="002B5B23">
      <w:pPr>
        <w:pStyle w:val="a3"/>
        <w:numPr>
          <w:ilvl w:val="0"/>
          <w:numId w:val="2"/>
        </w:numPr>
      </w:pPr>
      <w:r>
        <w:t>списки поставщиков услуг для создания переводов</w:t>
      </w:r>
    </w:p>
    <w:p w:rsidR="002B5B23" w:rsidRDefault="002B5B23" w:rsidP="002B5B23">
      <w:r>
        <w:t>Доступ к операциям по банковским услугам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заполнение, редактирование документов (заявлений)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получение информации о комиссии за перевод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просмотр, подпись документов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t>список документов, отправленных в банк, полученных из банка</w:t>
      </w:r>
    </w:p>
    <w:p w:rsidR="002B5B23" w:rsidRDefault="002B5B23" w:rsidP="002B5B23">
      <w:pPr>
        <w:pStyle w:val="a3"/>
        <w:numPr>
          <w:ilvl w:val="0"/>
          <w:numId w:val="4"/>
        </w:numPr>
      </w:pPr>
      <w:r>
        <w:lastRenderedPageBreak/>
        <w:t>список шаблонов документов</w:t>
      </w:r>
    </w:p>
    <w:p w:rsidR="002B5B23" w:rsidRDefault="002B5B23" w:rsidP="002B5B23">
      <w:r>
        <w:t>Просмотр новостей, персональных сообщений банка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 xml:space="preserve">лента общих информационных сообщений (новости, </w:t>
      </w:r>
      <w:proofErr w:type="spellStart"/>
      <w:r>
        <w:t>объявленя</w:t>
      </w:r>
      <w:proofErr w:type="spellEnd"/>
      <w:r>
        <w:t>)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>лента персональных сообщений от банка</w:t>
      </w:r>
    </w:p>
    <w:p w:rsidR="002B5B23" w:rsidRDefault="002B5B23" w:rsidP="002B5B23">
      <w:pPr>
        <w:pStyle w:val="a3"/>
        <w:numPr>
          <w:ilvl w:val="0"/>
          <w:numId w:val="3"/>
        </w:numPr>
      </w:pPr>
      <w:r>
        <w:t>отправка сообщений в банк (обратная связь)</w:t>
      </w:r>
    </w:p>
    <w:p w:rsidR="002B5B23" w:rsidRDefault="002B5B23" w:rsidP="002B5B23">
      <w:pPr>
        <w:pStyle w:val="a3"/>
        <w:numPr>
          <w:ilvl w:val="0"/>
          <w:numId w:val="5"/>
        </w:numPr>
      </w:pPr>
      <w:r>
        <w:t>курсы конвертации валют</w:t>
      </w:r>
    </w:p>
    <w:p w:rsidR="00000000" w:rsidRDefault="00E83D12">
      <w:r>
        <w:t>Планирование бюджета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просмотр создание, изменение плана доходов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просмотр создание, изменение плана расходов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управление структурой расходов (категории, подкатегории)</w:t>
      </w:r>
    </w:p>
    <w:p w:rsidR="00E83D12" w:rsidRDefault="00E83D12" w:rsidP="00E83D12">
      <w:pPr>
        <w:pStyle w:val="a3"/>
        <w:numPr>
          <w:ilvl w:val="0"/>
          <w:numId w:val="11"/>
        </w:numPr>
      </w:pPr>
      <w:r>
        <w:t>управление структурой д</w:t>
      </w:r>
      <w:r w:rsidR="005205DD">
        <w:t>о</w:t>
      </w:r>
      <w:r>
        <w:t>ходов</w:t>
      </w:r>
      <w:r w:rsidR="00224992">
        <w:t xml:space="preserve"> (источники)</w:t>
      </w:r>
    </w:p>
    <w:p w:rsidR="00E83D12" w:rsidRDefault="00E83D12"/>
    <w:sectPr w:rsidR="00E8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B38"/>
    <w:multiLevelType w:val="hybridMultilevel"/>
    <w:tmpl w:val="DAFE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510C"/>
    <w:multiLevelType w:val="hybridMultilevel"/>
    <w:tmpl w:val="065A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216B"/>
    <w:multiLevelType w:val="hybridMultilevel"/>
    <w:tmpl w:val="914E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33C41"/>
    <w:multiLevelType w:val="hybridMultilevel"/>
    <w:tmpl w:val="B81A7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C7423"/>
    <w:multiLevelType w:val="hybridMultilevel"/>
    <w:tmpl w:val="6FB6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52EEE"/>
    <w:multiLevelType w:val="hybridMultilevel"/>
    <w:tmpl w:val="2140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A1AEA"/>
    <w:multiLevelType w:val="hybridMultilevel"/>
    <w:tmpl w:val="6162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50B2F"/>
    <w:multiLevelType w:val="hybridMultilevel"/>
    <w:tmpl w:val="70D6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63FEE"/>
    <w:multiLevelType w:val="hybridMultilevel"/>
    <w:tmpl w:val="197E8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B3F8A"/>
    <w:multiLevelType w:val="hybridMultilevel"/>
    <w:tmpl w:val="C576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35999"/>
    <w:multiLevelType w:val="hybridMultilevel"/>
    <w:tmpl w:val="0C92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>
    <w:useFELayout/>
  </w:compat>
  <w:rsids>
    <w:rsidRoot w:val="002B5B23"/>
    <w:rsid w:val="001A3A47"/>
    <w:rsid w:val="00224992"/>
    <w:rsid w:val="002B062E"/>
    <w:rsid w:val="002B5B23"/>
    <w:rsid w:val="005205DD"/>
    <w:rsid w:val="005A2529"/>
    <w:rsid w:val="006B1BD4"/>
    <w:rsid w:val="006E40C1"/>
    <w:rsid w:val="00AE4864"/>
    <w:rsid w:val="00E8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B5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B5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2B5B23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2B5B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2012-10-16T04:13:00Z</dcterms:created>
  <dcterms:modified xsi:type="dcterms:W3CDTF">2012-10-16T05:27:00Z</dcterms:modified>
</cp:coreProperties>
</file>