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120" w:before="2400"/>
        <w:ind/>
        <w:rPr/>
      </w:pPr>
      <w:r/>
      <w:r/>
    </w:p>
    <w:p>
      <w:pPr>
        <w:pBdr/>
        <w:spacing w:after="120" w:before="2400"/>
        <w:ind/>
        <w:rPr/>
      </w:pPr>
      <w:r/>
      <w:r/>
    </w:p>
    <w:p>
      <w:pPr>
        <w:pBdr/>
        <w:spacing w:after="200" w:before="0"/>
        <w:ind/>
        <w:jc w:val="center"/>
        <w:rPr/>
      </w:pPr>
      <w:r>
        <w:rPr>
          <w:rFonts w:ascii="Arial" w:hAnsi="Arial" w:eastAsia="Arial" w:cs="Arial"/>
          <w:b/>
          <w:bCs/>
          <w:color w:val="1f3864"/>
          <w:sz w:val="56"/>
          <w:szCs w:val="56"/>
        </w:rPr>
        <w:t xml:space="preserve">ASSET MANAGEMENT SYSTEM</w:t>
      </w:r>
      <w:r/>
    </w:p>
    <w:p>
      <w:pPr>
        <w:pBdr/>
        <w:spacing w:after="600" w:before="0"/>
        <w:ind/>
        <w:jc w:val="center"/>
        <w:rPr/>
      </w:pPr>
      <w:r>
        <w:rPr>
          <w:rFonts w:ascii="Arial" w:hAnsi="Arial" w:eastAsia="Arial" w:cs="Arial"/>
          <w:color w:val="2e5fa3"/>
          <w:sz w:val="36"/>
          <w:szCs w:val="36"/>
        </w:rPr>
        <w:t xml:space="preserve">Scope Document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12"/>
        <w:pBdr/>
        <w:spacing w:after="180" w:before="360"/>
        <w:ind/>
        <w:rPr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 xml:space="preserve">1. Purpose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This document defines the scope of the Asset Management System (AMS).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It identifies: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What the AMS must cover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What business capabilities are included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What user roles are covered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What workflows and controls must be supported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This scope document does not introduce capabilities beyond the approved AMS design.</w:t>
      </w:r>
      <w:r/>
    </w:p>
    <w:p>
      <w:pPr>
        <w:pBdr>
          <w:bottom w:val="single" w:color="d0d9e8" w:sz="4" w:space="1"/>
        </w:pBdr>
        <w:spacing w:after="160" w:before="160"/>
        <w:ind/>
        <w:rPr/>
      </w:pPr>
      <w:r/>
      <w:r/>
    </w:p>
    <w:p>
      <w:pPr>
        <w:pStyle w:val="912"/>
        <w:pBdr/>
        <w:spacing w:after="180" w:before="360"/>
        <w:ind/>
        <w:rPr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 xml:space="preserve">2. Scope Objective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scope is to provide a controlled business system for managing company assets across branches through their full operational lifecycle, including: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 setup and configuration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 intake and stock visibility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Employee assignment and recovery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Service and temporary replacement handling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Branch and location movement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Loss, damage, and recovery accountability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Approval, audit, and policy enforcement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Reporting, operational monitoring, and search visibility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system is intended for one organization operating across multiple branches and locations.</w:t>
      </w:r>
      <w:r/>
    </w:p>
    <w:p>
      <w:pPr>
        <w:pBdr>
          <w:bottom w:val="single" w:color="d0d9e8" w:sz="4" w:space="1"/>
        </w:pBdr>
        <w:spacing w:after="160" w:before="160"/>
        <w:ind/>
        <w:rPr/>
      </w:pPr>
      <w:r/>
      <w:r/>
    </w:p>
    <w:p>
      <w:pPr>
        <w:pStyle w:val="912"/>
        <w:pBdr/>
        <w:spacing w:after="180" w:before="360"/>
        <w:ind/>
        <w:rPr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 xml:space="preserve">3. Business Principles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scope is governed by the following business principles: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Every asset must be trackable, even if it has no manufacturer serial number.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 type and asset instance must always remain distinct.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Every asset must have one valid current state at any time.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Every operational action must follow an allowed workflow.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Every asset must have only one active owner or custodian at a time.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Every branch must have real-time inventory visibility.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Every approval-sensitive action must be governed and auditable.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 history must be permanent and must never be reset due to service, transfer, return, or reuse.</w:t>
      </w:r>
      <w:r/>
    </w:p>
    <w:p>
      <w:pPr>
        <w:pBdr>
          <w:bottom w:val="single" w:color="d0d9e8" w:sz="4" w:space="1"/>
        </w:pBdr>
        <w:spacing w:after="160" w:before="160"/>
        <w:ind/>
        <w:rPr/>
      </w:pPr>
      <w:r/>
      <w:r/>
    </w:p>
    <w:p>
      <w:pPr>
        <w:pStyle w:val="912"/>
        <w:pBdr/>
        <w:spacing w:after="180" w:before="360"/>
        <w:ind/>
        <w:rPr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 xml:space="preserve">4. Business Areas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4.1  Asset Master &amp; Configuration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must support: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 category definition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 type definition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Configurable attributes per asset type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Mandatory and optional fields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Dependent picklists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 control classification as Trackable or Consumable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Serial number applicability rules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Branch applicability rules where needed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Service applicability rules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Reservation applicability rules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Approval applicability by asset type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SLA or aging threshold definition where needed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Default valuation or reference value rules where needed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4.2  Asset Inventory &amp; Identity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must support: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Creation of asset instances from procurement or existing stock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System-generated internal asset ID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 identity capture such as serial number, IMEI, card number, vendor code, barcode, or QR code where applicable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Ability to track assets even when no manufacturer serial number exists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Branch and location ownership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Condition tracking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Condition history where required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Stock classification visibility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Operational hold or lock mechanism to prevent conflicting parallel actions during sensitive workflows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Reference value capture where governed assets require it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Identity rules: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Internal asset ID is mandatory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Internal asset ID is organization-wide unique and must never change, even if the asset moves across branches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Internal asset ID remains the primary identity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Internal asset ID must remain unchanged across transfers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 transfer must not create a new identity or reset uniqueness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External identifiers follow asset-type-specific uniqueness rules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Uniqueness policy must be defined by identifier type at asset-type level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Movable assets must not rely on branch-only uniqueness where transfer can create identity conflict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4.3  Asset Control, Condition &amp; Ownership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must support: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 control classification as Trackable or Consumable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Controlled condition values for trackable assets such as New, Good, Usable, Damaged, and Critical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Condition-driven service, reassignment, recovery, and scrap decisions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Consumable issue through stock receipt and stock issue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Reduced lifecycle handling for consumables by default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One active ownership or custody layer at a time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Custody layers covered: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Organization stock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Branch stock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Sub-location stock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Employee custody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Service custody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Transit custody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Scrap or disposal holding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4.4  Lifecycle &amp; State Control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must support a controlled lifecycle with the following core states: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Procured / Added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Available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Reserved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Assigned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Under Service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Returned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Idle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Transferred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Scrapped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This area includes: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Controlled state transitions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Validation before state changes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Prevention of invalid actions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Distinction between state, status, and sub-status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Operational hold or lock control during sensitive workflows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Prevention of conflicting parallel actions on the same asset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Lifecycle control must support: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State as the primary controlled lifecycle stage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Status as the operational business condition within a state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Sub-status as finer workflow progress detail for service, transfer, or approval-driven activities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4.5  Allocation, Reservation &amp; Recovery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must support: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Admin-driven assignment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Onboarding assignment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Request-based assignment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Reservation before handover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Reservation expiry, release, and notification handling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Bulk allocation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 return processing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Partial return handling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Missing component accountability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Reallocation after recovery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Offboarding asset recovery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4.6  Request &amp; Approval Handling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must support: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New asset requests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Additional accessory requests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Replacement requests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Repair or service requests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Return requests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Lost or damaged asset declarations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Approval routing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Approval aging visibility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Exception handling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Closure tracking with outcome history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4.7  Service &amp; Backup Handling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must support: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Service intake and tracking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Service provider or service location capture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Service status tracking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Service SLA tracking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SLA-based notification and escalation handling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Temporary backup asset issue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Backup asset recovery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Reassignment after service outcome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Separation of backup handling from the main lifecycle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Backup handling as an operational process, not a separate lifecycle state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Temporary and permanent backup allocations must be distinguishable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Backup stock must remain visible separately from regular available stock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4.8  Transfer &amp; Movement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must support: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Inter-branch transfer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Intra-branch location movement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Bulk transfer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Receipt confirmation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Transfer approval where required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Transfer aging visibility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Transfer sub-status visibility such as Initiated, Dispatched, In Transit, and Received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4.9  Loss, Damage &amp; Recovery Accountability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must support: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Lost asset reporting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Damaged asset reporting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Responsibility verification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Recovery reference value and final recovery amount recording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Penalty or recovery tracking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Blocking uncontrolled reuse of affected assets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Distinction between monetary recovery and physical asset recovery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4.10  Governance, Audit &amp; Compliance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must support: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Approval logs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Action logs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State transition history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Ownership history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Scrap or disposal approval trace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Policy compliance monitoring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Exception tracking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Override tracking with reason capture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Correction handling without deleting governed history — original value, corrected value, actor, timestamp, and reason must remain visible in audit history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Notification and escalation visibility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Business event-based history tracking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4.11  Policy &amp; Rule Control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must support policy-driven business control for: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Role-based eligibility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Department-based eligibility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Branch-specific entitlement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Branch-specific restrictions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Maximum quantity by asset type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Approval requirement by asset value or asset type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Replacement eligibility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Backup issue priority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Return requirement during offboarding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Reservation eligibility and duration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Override eligibility for policy exceptions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must also support policy precedence in the following order: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Organization or global restriction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Branch or local restriction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Role or department entitlement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Request-specific approved exception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4.12  Reporting, Search &amp; Visibility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must support visibility of: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Branch stock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Reserved stock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Assigned assets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Assigned assets by employee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Assigned assets by branch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Idle assets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Backup stock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Assets under service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Assets in transit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Lost assets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Damaged assets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Scrapped assets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Aging views for asset, approval, transfer, and service operations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Utilization and failure trends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must also support search by: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 ID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Serial number or IMEI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Employee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Branch or location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 type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Status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Request or service reference where applicable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4.13  Inventory Audit &amp; Reconciliation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must support: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Scheduled physical audit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Ad hoc physical audit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Verification against system stock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Mismatch detection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Condition mismatch tracking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Controlled reconciliation or adjustment with approval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Retention of audit history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4.14  Archive &amp; Scrap Control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must support: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Scrap workflow for permanently retired assets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Archive concept for non-operational but historically retained assets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Separation between archived assets and scrapped assets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Archived assets must not appear as normal allocatable stock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Archive preserves long-term history without treating the asset as operationally active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Scrapped assets must never return to active stock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Prevention of reactivation of scrapped assets</w:t>
      </w:r>
      <w:r/>
    </w:p>
    <w:p>
      <w:pPr>
        <w:pBdr>
          <w:bottom w:val="single" w:color="d0d9e8" w:sz="4" w:space="1"/>
        </w:pBdr>
        <w:spacing w:after="160" w:before="160"/>
        <w:ind/>
        <w:rPr/>
      </w:pPr>
      <w:r/>
      <w:r/>
    </w:p>
    <w:p>
      <w:pPr>
        <w:pStyle w:val="912"/>
        <w:pBdr/>
        <w:spacing w:after="180" w:before="360"/>
        <w:ind/>
        <w:rPr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 xml:space="preserve">5. User Roles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5.1  Super Admin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Responsibilities: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Global configuration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Policy definition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Approval rule setup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Lifecycle rule setup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Cross-branch visibility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Governance monitoring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5.2  Branch Admin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Responsibilities: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 intake and receiving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Assignment and recovery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Request handling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Service handling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Transfer handling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Branch stock monitoring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Physical verification participation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5.3  Employee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Responsibilities: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View assigned assets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Raise requests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Raise service, loss, and damage declarations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Track request status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Confirm receipt where applicable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Return assets</w:t>
      </w:r>
      <w:r/>
    </w:p>
    <w:p>
      <w:pPr>
        <w:pStyle w:val="913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5fa3"/>
          <w:sz w:val="26"/>
          <w:szCs w:val="26"/>
        </w:rPr>
        <w:t xml:space="preserve">5.4  Optional Governance Roles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Included if the business chooses to enable them: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Approver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Service Coordinator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Auditor or Compliance User</w:t>
      </w:r>
      <w:r/>
    </w:p>
    <w:p>
      <w:pPr>
        <w:pBdr>
          <w:bottom w:val="single" w:color="d0d9e8" w:sz="4" w:space="1"/>
        </w:pBdr>
        <w:spacing w:after="160" w:before="160"/>
        <w:ind/>
        <w:rPr/>
      </w:pPr>
      <w:r/>
      <w:r/>
    </w:p>
    <w:p>
      <w:pPr>
        <w:pStyle w:val="912"/>
        <w:pBdr/>
        <w:spacing w:after="180" w:before="360"/>
        <w:ind/>
        <w:rPr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 xml:space="preserve">6. Core Workflows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following end-to-end workflows are covered: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 procurement or asset addition to inventory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Onboarding asset reservation and assignment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Admin manual assignment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Employee request-based asset issue or replacement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Fault reporting and service processing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Backup asset issue and recovery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 return and validation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Offboarding recovery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Branch transfer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Intra-branch location movement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Scrap approval and disposal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Valuation and recovery amount handling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Bulk operations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SLA, aging, notification, and escalation monitoring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Inventory audit and reconciliation</w:t>
      </w:r>
      <w:r/>
    </w:p>
    <w:p>
      <w:pPr>
        <w:pStyle w:val="904"/>
        <w:numPr>
          <w:ilvl w:val="0"/>
          <w:numId w:val="3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Loss and damage accountability closure</w:t>
      </w:r>
      <w:r/>
    </w:p>
    <w:p>
      <w:pPr>
        <w:pBdr>
          <w:bottom w:val="single" w:color="d0d9e8" w:sz="4" w:space="1"/>
        </w:pBdr>
        <w:spacing w:after="160" w:before="160"/>
        <w:ind/>
        <w:rPr/>
      </w:pPr>
      <w:r/>
      <w:r/>
    </w:p>
    <w:p>
      <w:pPr>
        <w:pStyle w:val="912"/>
        <w:pBdr/>
        <w:spacing w:after="180" w:before="360"/>
        <w:ind/>
        <w:rPr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 xml:space="preserve">7. Business Controls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must enforce the following business controls: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No asset assignment outside allowed lifecycle conditions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No conflicting active custody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No transfer of assigned or under-service assets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No scrapping of assets with unresolved accountability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No deletion of governed operational history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No reuse of lost or scrapped assets without proper business closure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No conflicting parallel actions where an operational hold applies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Approval, exception, and override traceability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Policy-based eligibility and quantity controls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Reservation expiry and release control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Uniqueness control for identity values according to asset type</w:t>
      </w:r>
      <w:r/>
    </w:p>
    <w:p>
      <w:pPr>
        <w:pBdr>
          <w:bottom w:val="single" w:color="d0d9e8" w:sz="4" w:space="1"/>
        </w:pBdr>
        <w:spacing w:after="160" w:before="160"/>
        <w:ind/>
        <w:rPr/>
      </w:pPr>
      <w:r/>
      <w:r/>
    </w:p>
    <w:p>
      <w:pPr>
        <w:pStyle w:val="912"/>
        <w:pBdr/>
        <w:spacing w:after="180" w:before="360"/>
        <w:ind/>
        <w:rPr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 xml:space="preserve">8. Business Events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includes event-based business history for major actions, including: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AssetCreated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AssetReserved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AssetAssigned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AssetReturned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AssetSentForService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AssetServiceUpdated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BackupAssetIssued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BackupAssetRecovered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AssetTransferred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TransferReceived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LossReported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DamageReported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RecoveryAmountRecorded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AssetFoundAfterLoss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AssetScrapped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AssetArchived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These events are treated as business records and audit drivers. This document does not define their technical storage or processing architecture.</w:t>
      </w:r>
      <w:r/>
    </w:p>
    <w:p>
      <w:pPr>
        <w:pBdr>
          <w:bottom w:val="single" w:color="d0d9e8" w:sz="4" w:space="1"/>
        </w:pBdr>
        <w:spacing w:after="160" w:before="160"/>
        <w:ind/>
        <w:rPr/>
      </w:pPr>
      <w:r/>
      <w:r/>
    </w:p>
    <w:p>
      <w:pPr>
        <w:pStyle w:val="912"/>
        <w:pBdr/>
        <w:spacing w:after="180" w:before="360"/>
        <w:ind/>
        <w:rPr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 xml:space="preserve">9. Scope Constraints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is defined with the following boundaries: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The AMS is designed for one organization with multiple branches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Asset handling is primarily centered on individually controlled assets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Consumable support exists, but consumables do not drive the core lifecycle model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Bundling is not part of the current scope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Database design, API design, technical architecture, and low-level implementation details are handled separately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Background processing, locking mechanisms, search indexing, and integration implementation are handled separately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Multi-company operation, formal asset bundle model, and finance-module behavior are not part of this scope document</w:t>
      </w:r>
      <w:r/>
    </w:p>
    <w:p>
      <w:pPr>
        <w:pBdr>
          <w:bottom w:val="single" w:color="d0d9e8" w:sz="4" w:space="1"/>
        </w:pBdr>
        <w:spacing w:after="160" w:before="160"/>
        <w:ind/>
        <w:rPr/>
      </w:pPr>
      <w:r/>
      <w:r/>
    </w:p>
    <w:p>
      <w:pPr>
        <w:pStyle w:val="912"/>
        <w:pBdr/>
        <w:spacing w:after="180" w:before="360"/>
        <w:ind/>
        <w:rPr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 xml:space="preserve">10. Expected Outcome</w:t>
      </w:r>
      <w:r/>
    </w:p>
    <w:p>
      <w:pPr>
        <w:pBdr/>
        <w:spacing w:after="80" w:before="8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If the AMS is built within this scope, the business should be able to: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Define and control asset structures centrally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Track assets consistently across branches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Assign, recover, service, transfer, and retire assets through governed workflows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Apply approval and policy control to sensitive operations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Hold employees or administrators accountable for loss and damage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Maintain full auditability and business history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Monitor branch-wise stock and operational aging</w:t>
      </w:r>
      <w:r/>
    </w:p>
    <w:p>
      <w:pPr>
        <w:pStyle w:val="904"/>
        <w:numPr>
          <w:ilvl w:val="0"/>
          <w:numId w:val="2"/>
        </w:numPr>
        <w:pBdr/>
        <w:spacing w:after="60" w:before="60"/>
        <w:ind/>
        <w:rPr/>
      </w:pPr>
      <w:r>
        <w:rPr>
          <w:rFonts w:ascii="Arial" w:hAnsi="Arial" w:eastAsia="Arial" w:cs="Arial"/>
          <w:color w:val="4a4a4a"/>
          <w:sz w:val="22"/>
          <w:szCs w:val="22"/>
        </w:rPr>
        <w:t xml:space="preserve">Support real operational use without changing the approved AMS business model</w:t>
      </w:r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260" w:bottom="1440" w:left="126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top w:val="single" w:color="cccccc" w:sz="4" w:space="1"/>
      </w:pBdr>
      <w:spacing w:before="120"/>
      <w:ind/>
      <w:rPr/>
    </w:pPr>
    <w:r>
      <w:rPr>
        <w:rFonts w:ascii="Arial" w:hAnsi="Arial" w:eastAsia="Arial" w:cs="Arial"/>
        <w:color w:val="888888"/>
        <w:sz w:val="18"/>
        <w:szCs w:val="18"/>
      </w:rPr>
      <w:t xml:space="preserve">Confidential  |  Page </w:t>
    </w:r>
    <w:r>
      <w:rPr>
        <w:rFonts w:ascii="Arial" w:hAnsi="Arial" w:eastAsia="Arial" w:cs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hAnsi="Arial" w:eastAsia="Arial" w:cs="Arial"/>
        <w:color w:val="888888"/>
        <w:sz w:val="18"/>
        <w:szCs w:val="18"/>
      </w:rPr>
      <w:t xml:space="preserve"> of </w:t>
    </w:r>
    <w:r>
      <w:rPr>
        <w:rFonts w:ascii="Arial" w:hAnsi="Arial" w:eastAsia="Arial" w:cs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2e5fa3" w:sz="6" w:space="1"/>
      </w:pBdr>
      <w:spacing w:after="120"/>
      <w:ind/>
      <w:rPr/>
    </w:pPr>
    <w:r>
      <w:rPr>
        <w:rFonts w:ascii="Arial" w:hAnsi="Arial" w:eastAsia="Arial" w:cs="Arial"/>
        <w:color w:val="888888"/>
        <w:sz w:val="18"/>
        <w:szCs w:val="18"/>
      </w:rPr>
      <w:t xml:space="preserve">Asset Management System  |  Scope Document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1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Table Grid"/>
    <w:basedOn w:val="72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Table Grid Light"/>
    <w:basedOn w:val="72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1"/>
    <w:basedOn w:val="72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2"/>
    <w:basedOn w:val="72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3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4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5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1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2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3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4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5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6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1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2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3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4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5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6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1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2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3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4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5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6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"/>
    <w:basedOn w:val="7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1"/>
    <w:basedOn w:val="7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2"/>
    <w:basedOn w:val="7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3"/>
    <w:basedOn w:val="7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4"/>
    <w:basedOn w:val="7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5"/>
    <w:basedOn w:val="7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6"/>
    <w:basedOn w:val="7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1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2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3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- Accent 4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5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6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1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2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3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4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5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6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1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2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3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4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5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6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1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2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3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4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5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6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1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2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3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4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5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6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1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2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3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4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5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6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1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2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3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4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5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6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1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2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3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4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5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6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1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2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3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4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5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6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1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2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3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4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5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6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"/>
    <w:basedOn w:val="7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1"/>
    <w:basedOn w:val="7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2"/>
    <w:basedOn w:val="7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3"/>
    <w:basedOn w:val="7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4"/>
    <w:basedOn w:val="7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5"/>
    <w:basedOn w:val="7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6"/>
    <w:basedOn w:val="7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"/>
    <w:basedOn w:val="7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1"/>
    <w:basedOn w:val="7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2"/>
    <w:basedOn w:val="7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3"/>
    <w:basedOn w:val="7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4"/>
    <w:basedOn w:val="7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5"/>
    <w:basedOn w:val="7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6"/>
    <w:basedOn w:val="7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1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2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3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4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5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6"/>
    <w:basedOn w:val="7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3" w:default="1">
    <w:name w:val="Normal"/>
    <w:qFormat/>
    <w:pPr>
      <w:pBdr/>
      <w:spacing/>
      <w:ind/>
    </w:pPr>
  </w:style>
  <w:style w:type="paragraph" w:styleId="854">
    <w:name w:val="Heading 7"/>
    <w:basedOn w:val="853"/>
    <w:next w:val="853"/>
    <w:link w:val="86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5">
    <w:name w:val="Heading 8"/>
    <w:basedOn w:val="853"/>
    <w:next w:val="853"/>
    <w:link w:val="86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Heading 9"/>
    <w:basedOn w:val="853"/>
    <w:next w:val="853"/>
    <w:link w:val="86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7" w:default="1">
    <w:name w:val="Default Paragraph Font"/>
    <w:uiPriority w:val="1"/>
    <w:semiHidden/>
    <w:unhideWhenUsed/>
    <w:pPr>
      <w:pBdr/>
      <w:spacing/>
      <w:ind/>
    </w:pPr>
  </w:style>
  <w:style w:type="numbering" w:styleId="858" w:default="1">
    <w:name w:val="No List"/>
    <w:uiPriority w:val="99"/>
    <w:semiHidden/>
    <w:unhideWhenUsed/>
    <w:pPr>
      <w:pBdr/>
      <w:spacing/>
      <w:ind/>
    </w:pPr>
  </w:style>
  <w:style w:type="character" w:styleId="859">
    <w:name w:val="Heading 1 Char"/>
    <w:basedOn w:val="857"/>
    <w:link w:val="9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0">
    <w:name w:val="Heading 2 Char"/>
    <w:basedOn w:val="857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1">
    <w:name w:val="Heading 3 Char"/>
    <w:basedOn w:val="857"/>
    <w:link w:val="9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2">
    <w:name w:val="Heading 4 Char"/>
    <w:basedOn w:val="857"/>
    <w:link w:val="9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3">
    <w:name w:val="Heading 5 Char"/>
    <w:basedOn w:val="857"/>
    <w:link w:val="9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4">
    <w:name w:val="Heading 6 Char"/>
    <w:basedOn w:val="857"/>
    <w:link w:val="9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5">
    <w:name w:val="Heading 7 Char"/>
    <w:basedOn w:val="857"/>
    <w:link w:val="85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6">
    <w:name w:val="Heading 8 Char"/>
    <w:basedOn w:val="857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7">
    <w:name w:val="Heading 9 Char"/>
    <w:basedOn w:val="857"/>
    <w:link w:val="8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8">
    <w:name w:val="Title Char"/>
    <w:basedOn w:val="857"/>
    <w:link w:val="8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9">
    <w:name w:val="Subtitle"/>
    <w:basedOn w:val="853"/>
    <w:next w:val="853"/>
    <w:link w:val="87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0">
    <w:name w:val="Subtitle Char"/>
    <w:basedOn w:val="857"/>
    <w:link w:val="86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1">
    <w:name w:val="Quote"/>
    <w:basedOn w:val="853"/>
    <w:next w:val="853"/>
    <w:link w:val="87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2">
    <w:name w:val="Quote Char"/>
    <w:basedOn w:val="857"/>
    <w:link w:val="87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3">
    <w:name w:val="Intense Emphasis"/>
    <w:basedOn w:val="85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4">
    <w:name w:val="Intense Quote"/>
    <w:basedOn w:val="853"/>
    <w:next w:val="853"/>
    <w:link w:val="87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5">
    <w:name w:val="Intense Quote Char"/>
    <w:basedOn w:val="857"/>
    <w:link w:val="87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6">
    <w:name w:val="Intense Reference"/>
    <w:basedOn w:val="85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7">
    <w:name w:val="No Spacing"/>
    <w:basedOn w:val="853"/>
    <w:uiPriority w:val="1"/>
    <w:qFormat/>
    <w:pPr>
      <w:pBdr/>
      <w:spacing w:after="0" w:line="240" w:lineRule="auto"/>
      <w:ind/>
    </w:pPr>
  </w:style>
  <w:style w:type="character" w:styleId="878">
    <w:name w:val="Subtle Emphasis"/>
    <w:basedOn w:val="85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9">
    <w:name w:val="Emphasis"/>
    <w:basedOn w:val="857"/>
    <w:uiPriority w:val="20"/>
    <w:qFormat/>
    <w:pPr>
      <w:pBdr/>
      <w:spacing/>
      <w:ind/>
    </w:pPr>
    <w:rPr>
      <w:i/>
      <w:iCs/>
    </w:rPr>
  </w:style>
  <w:style w:type="character" w:styleId="880">
    <w:name w:val="Subtle Reference"/>
    <w:basedOn w:val="85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1">
    <w:name w:val="Book Title"/>
    <w:basedOn w:val="85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2">
    <w:name w:val="Header"/>
    <w:basedOn w:val="853"/>
    <w:link w:val="8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3">
    <w:name w:val="Header Char"/>
    <w:basedOn w:val="857"/>
    <w:link w:val="882"/>
    <w:uiPriority w:val="99"/>
    <w:pPr>
      <w:pBdr/>
      <w:spacing/>
      <w:ind/>
    </w:pPr>
  </w:style>
  <w:style w:type="paragraph" w:styleId="884">
    <w:name w:val="Footer"/>
    <w:basedOn w:val="853"/>
    <w:link w:val="8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5">
    <w:name w:val="Footer Char"/>
    <w:basedOn w:val="857"/>
    <w:link w:val="884"/>
    <w:uiPriority w:val="99"/>
    <w:pPr>
      <w:pBdr/>
      <w:spacing/>
      <w:ind/>
    </w:pPr>
  </w:style>
  <w:style w:type="paragraph" w:styleId="886">
    <w:name w:val="Caption"/>
    <w:basedOn w:val="853"/>
    <w:next w:val="85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87">
    <w:name w:val="FollowedHyperlink"/>
    <w:basedOn w:val="85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8">
    <w:name w:val="toc 1"/>
    <w:basedOn w:val="853"/>
    <w:next w:val="853"/>
    <w:uiPriority w:val="39"/>
    <w:unhideWhenUsed/>
    <w:pPr>
      <w:pBdr/>
      <w:spacing w:after="100"/>
      <w:ind/>
    </w:pPr>
  </w:style>
  <w:style w:type="paragraph" w:styleId="889">
    <w:name w:val="toc 2"/>
    <w:basedOn w:val="853"/>
    <w:next w:val="853"/>
    <w:uiPriority w:val="39"/>
    <w:unhideWhenUsed/>
    <w:pPr>
      <w:pBdr/>
      <w:spacing w:after="100"/>
      <w:ind w:left="220"/>
    </w:pPr>
  </w:style>
  <w:style w:type="paragraph" w:styleId="890">
    <w:name w:val="toc 3"/>
    <w:basedOn w:val="853"/>
    <w:next w:val="853"/>
    <w:uiPriority w:val="39"/>
    <w:unhideWhenUsed/>
    <w:pPr>
      <w:pBdr/>
      <w:spacing w:after="100"/>
      <w:ind w:left="440"/>
    </w:pPr>
  </w:style>
  <w:style w:type="paragraph" w:styleId="891">
    <w:name w:val="toc 4"/>
    <w:basedOn w:val="853"/>
    <w:next w:val="853"/>
    <w:uiPriority w:val="39"/>
    <w:unhideWhenUsed/>
    <w:pPr>
      <w:pBdr/>
      <w:spacing w:after="100"/>
      <w:ind w:left="660"/>
    </w:pPr>
  </w:style>
  <w:style w:type="paragraph" w:styleId="892">
    <w:name w:val="toc 5"/>
    <w:basedOn w:val="853"/>
    <w:next w:val="853"/>
    <w:uiPriority w:val="39"/>
    <w:unhideWhenUsed/>
    <w:pPr>
      <w:pBdr/>
      <w:spacing w:after="100"/>
      <w:ind w:left="880"/>
    </w:pPr>
  </w:style>
  <w:style w:type="paragraph" w:styleId="893">
    <w:name w:val="toc 6"/>
    <w:basedOn w:val="853"/>
    <w:next w:val="853"/>
    <w:uiPriority w:val="39"/>
    <w:unhideWhenUsed/>
    <w:pPr>
      <w:pBdr/>
      <w:spacing w:after="100"/>
      <w:ind w:left="1100"/>
    </w:pPr>
  </w:style>
  <w:style w:type="paragraph" w:styleId="894">
    <w:name w:val="toc 7"/>
    <w:basedOn w:val="853"/>
    <w:next w:val="853"/>
    <w:uiPriority w:val="39"/>
    <w:unhideWhenUsed/>
    <w:pPr>
      <w:pBdr/>
      <w:spacing w:after="100"/>
      <w:ind w:left="1320"/>
    </w:pPr>
  </w:style>
  <w:style w:type="paragraph" w:styleId="895">
    <w:name w:val="toc 8"/>
    <w:basedOn w:val="853"/>
    <w:next w:val="853"/>
    <w:uiPriority w:val="39"/>
    <w:unhideWhenUsed/>
    <w:pPr>
      <w:pBdr/>
      <w:spacing w:after="100"/>
      <w:ind w:left="1540"/>
    </w:pPr>
  </w:style>
  <w:style w:type="paragraph" w:styleId="896">
    <w:name w:val="toc 9"/>
    <w:basedOn w:val="853"/>
    <w:next w:val="853"/>
    <w:uiPriority w:val="39"/>
    <w:unhideWhenUsed/>
    <w:pPr>
      <w:pBdr/>
      <w:spacing w:after="100"/>
      <w:ind w:left="1760"/>
    </w:pPr>
  </w:style>
  <w:style w:type="paragraph" w:styleId="897">
    <w:name w:val="TOC Heading"/>
    <w:uiPriority w:val="39"/>
    <w:unhideWhenUsed/>
    <w:pPr>
      <w:pBdr/>
      <w:spacing/>
      <w:ind/>
    </w:pPr>
  </w:style>
  <w:style w:type="paragraph" w:styleId="898">
    <w:name w:val="table of figures"/>
    <w:basedOn w:val="853"/>
    <w:next w:val="853"/>
    <w:uiPriority w:val="99"/>
    <w:unhideWhenUsed/>
    <w:pPr>
      <w:pBdr/>
      <w:spacing w:after="0" w:afterAutospacing="0"/>
      <w:ind/>
    </w:pPr>
  </w:style>
  <w:style w:type="paragraph" w:styleId="899">
    <w:name w:val="Title"/>
    <w:qFormat/>
    <w:pPr>
      <w:pBdr/>
      <w:spacing/>
      <w:ind/>
    </w:pPr>
    <w:rPr>
      <w:sz w:val="56"/>
      <w:szCs w:val="56"/>
    </w:rPr>
  </w:style>
  <w:style w:type="paragraph" w:styleId="900">
    <w:name w:val="Heading 4"/>
    <w:qFormat/>
    <w:pPr>
      <w:pBdr/>
      <w:spacing/>
      <w:ind/>
    </w:pPr>
    <w:rPr>
      <w:i/>
      <w:iCs/>
      <w:color w:val="2e74b5"/>
    </w:rPr>
  </w:style>
  <w:style w:type="paragraph" w:styleId="901">
    <w:name w:val="Heading 5"/>
    <w:qFormat/>
    <w:pPr>
      <w:pBdr/>
      <w:spacing/>
      <w:ind/>
    </w:pPr>
    <w:rPr>
      <w:color w:val="2e74b5"/>
    </w:rPr>
  </w:style>
  <w:style w:type="paragraph" w:styleId="902">
    <w:name w:val="Heading 6"/>
    <w:qFormat/>
    <w:pPr>
      <w:pBdr/>
      <w:spacing/>
      <w:ind/>
    </w:pPr>
    <w:rPr>
      <w:color w:val="1f4d78"/>
    </w:rPr>
  </w:style>
  <w:style w:type="paragraph" w:styleId="903">
    <w:name w:val="Strong"/>
    <w:qFormat/>
    <w:pPr>
      <w:pBdr/>
      <w:spacing/>
      <w:ind/>
    </w:pPr>
    <w:rPr>
      <w:b/>
      <w:bCs/>
    </w:rPr>
  </w:style>
  <w:style w:type="paragraph" w:styleId="904">
    <w:name w:val="List Paragraph"/>
    <w:qFormat/>
    <w:pPr>
      <w:pBdr/>
      <w:spacing/>
      <w:ind/>
    </w:pPr>
  </w:style>
  <w:style w:type="character" w:styleId="905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06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footnote text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Footnote Text Char"/>
    <w:link w:val="907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09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10">
    <w:name w:val="endnote text"/>
    <w:link w:val="9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1">
    <w:name w:val="Endnote Text Char"/>
    <w:link w:val="9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12">
    <w:name w:val="Heading 1"/>
    <w:qFormat/>
    <w:pPr>
      <w:pBdr/>
      <w:spacing w:after="180" w:before="360"/>
      <w:ind/>
      <w:outlineLvl w:val="0"/>
    </w:pPr>
    <w:rPr>
      <w:rFonts w:ascii="Arial" w:hAnsi="Arial" w:eastAsia="Arial" w:cs="Arial"/>
      <w:b/>
      <w:bCs/>
      <w:color w:val="1f3864"/>
      <w:sz w:val="32"/>
      <w:szCs w:val="32"/>
    </w:rPr>
  </w:style>
  <w:style w:type="paragraph" w:styleId="913">
    <w:name w:val="Heading 2"/>
    <w:qFormat/>
    <w:pPr>
      <w:pBdr/>
      <w:spacing w:after="120" w:before="280"/>
      <w:ind/>
      <w:outlineLvl w:val="1"/>
    </w:pPr>
    <w:rPr>
      <w:rFonts w:ascii="Arial" w:hAnsi="Arial" w:eastAsia="Arial" w:cs="Arial"/>
      <w:b/>
      <w:bCs/>
      <w:color w:val="2e5fa3"/>
      <w:sz w:val="26"/>
      <w:szCs w:val="26"/>
    </w:rPr>
  </w:style>
  <w:style w:type="paragraph" w:styleId="914">
    <w:name w:val="Heading 3"/>
    <w:qFormat/>
    <w:pPr>
      <w:pBdr/>
      <w:spacing w:after="100" w:before="200"/>
      <w:ind/>
      <w:outlineLvl w:val="2"/>
    </w:pPr>
    <w:rPr>
      <w:rFonts w:ascii="Arial" w:hAnsi="Arial" w:eastAsia="Arial" w:cs="Arial"/>
      <w:b/>
      <w:bCs/>
      <w:color w:val="4a90c4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ONLYOFFICE/8.2.2.22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2026-04-28T10:16:14Z</dcterms:created>
  <dcterms:modified xsi:type="dcterms:W3CDTF">2026-04-29T06:36:56Z</dcterms:modified>
</cp:coreProperties>
</file>