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70000" cy="639712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270000" cy="639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0.00pt;height:50.3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/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COST ESTIMATION SLIP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Bdr/>
        <w:spacing w:after="0" w:afterAutospacing="1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Date:22/9/2026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PRODUCT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W w:type="dxa" w:w="11311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0"/>
        <w:gridCol w:w="1800"/>
        <w:gridCol w:w="2250"/>
        <w:gridCol w:w="1200"/>
        <w:gridCol w:w="1500"/>
        <w:gridCol w:w="1500"/>
        <w:gridCol w:w="2411"/>
      </w:tblGrid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SNO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PRODUCT NAME</w:t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HSN CODE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PRICE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QTY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AMOUNT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Acer Laptop-i5</w:t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/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84713010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400896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400896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CGST 9% + SGST 9%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 Amount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72161.28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Subtotal (A):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473057.28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W w:type="dxa" w:w="11311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0"/>
        <w:gridCol w:w="3300"/>
        <w:gridCol w:w="1600"/>
        <w:gridCol w:w="1800"/>
        <w:gridCol w:w="3961"/>
      </w:tblGrid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SNO</w:t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SAC CODE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PRICE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AMOUNT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Service</w:t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998713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233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233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CGST 9% + SGST 9%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 Amount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41.94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Subtotal (B)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274.94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TOTAL AMOUNT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PAYABLE(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A+B): 473332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13"/>
        <w:pBdr/>
        <w:spacing w:after="0" w:afterAutospacing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432" w:right="432" w:bottom="432" w:left="43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2024-09-19T10:54:07Z</dcterms:modified>
</cp:coreProperties>
</file>