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61"/>
        <w:gridCol w:w="3087"/>
        <w:gridCol w:w="2372"/>
      </w:tblGrid>
      <w:tr w:rsidR="002C2C6F" w:rsidTr="00007524">
        <w:tc>
          <w:tcPr>
            <w:tcW w:w="3261" w:type="dxa"/>
            <w:vMerge w:val="restart"/>
          </w:tcPr>
          <w:p w:rsidR="002C2C6F" w:rsidRDefault="002C2C6F" w:rsidP="00E2010F">
            <w:pPr>
              <w:jc w:val="center"/>
              <w:rPr>
                <w:rFonts w:ascii="Arial Black" w:hAnsi="Arial Black"/>
                <w:sz w:val="40"/>
                <w:szCs w:val="40"/>
              </w:rPr>
            </w:pPr>
            <w:r>
              <w:object w:dxaOrig="3045" w:dyaOrig="15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2.25pt;height:77.25pt" o:ole="">
                  <v:imagedata r:id="rId5" o:title=""/>
                </v:shape>
                <o:OLEObject Type="Embed" ProgID="PBrush" ShapeID="_x0000_i1025" DrawAspect="Content" ObjectID="_1444897147" r:id="rId6"/>
              </w:object>
            </w:r>
          </w:p>
        </w:tc>
        <w:tc>
          <w:tcPr>
            <w:tcW w:w="5459" w:type="dxa"/>
            <w:gridSpan w:val="2"/>
          </w:tcPr>
          <w:p w:rsidR="002C2C6F" w:rsidRPr="00281FA4" w:rsidRDefault="00025BF7" w:rsidP="00A31675">
            <w:pPr>
              <w:rPr>
                <w:rFonts w:ascii="Arial Black" w:hAnsi="Arial Black" w:cs="Courier New"/>
                <w:b/>
                <w:sz w:val="24"/>
                <w:szCs w:val="24"/>
              </w:rPr>
            </w:pPr>
            <w:r w:rsidRPr="00281FA4">
              <w:rPr>
                <w:rFonts w:ascii="Arial Black" w:hAnsi="Arial Black" w:cs="Courier New"/>
                <w:b/>
                <w:sz w:val="24"/>
                <w:szCs w:val="24"/>
              </w:rPr>
              <w:t>Á</w:t>
            </w:r>
            <w:r w:rsidR="002C2C6F" w:rsidRPr="00281FA4">
              <w:rPr>
                <w:rFonts w:ascii="Arial Black" w:hAnsi="Arial Black" w:cs="Courier New"/>
                <w:b/>
                <w:sz w:val="24"/>
                <w:szCs w:val="24"/>
              </w:rPr>
              <w:t>r</w:t>
            </w:r>
            <w:r w:rsidRPr="00281FA4">
              <w:rPr>
                <w:rFonts w:ascii="Arial Black" w:hAnsi="Arial Black" w:cs="Courier New"/>
                <w:b/>
                <w:sz w:val="24"/>
                <w:szCs w:val="24"/>
              </w:rPr>
              <w:t>e</w:t>
            </w:r>
            <w:r w:rsidR="002C2C6F" w:rsidRPr="00281FA4">
              <w:rPr>
                <w:rFonts w:ascii="Arial Black" w:hAnsi="Arial Black" w:cs="Courier New"/>
                <w:b/>
                <w:sz w:val="24"/>
                <w:szCs w:val="24"/>
              </w:rPr>
              <w:t xml:space="preserve">a </w:t>
            </w:r>
            <w:proofErr w:type="gramStart"/>
            <w:r w:rsidR="002C2C6F" w:rsidRPr="00281FA4">
              <w:rPr>
                <w:rFonts w:ascii="Arial Black" w:hAnsi="Arial Black" w:cs="Courier New"/>
                <w:b/>
                <w:sz w:val="24"/>
                <w:szCs w:val="24"/>
              </w:rPr>
              <w:t>1</w:t>
            </w:r>
            <w:proofErr w:type="gramEnd"/>
          </w:p>
          <w:p w:rsidR="002C2C6F" w:rsidRPr="00A31675" w:rsidRDefault="00EC12AF" w:rsidP="00EC12AF">
            <w:pPr>
              <w:rPr>
                <w:rFonts w:ascii="Garamond" w:hAnsi="Garamond" w:cs="Courier New"/>
                <w:sz w:val="24"/>
                <w:szCs w:val="24"/>
              </w:rPr>
            </w:pPr>
            <w:r>
              <w:rPr>
                <w:rFonts w:ascii="Garamond" w:hAnsi="Garamond" w:cs="Courier New"/>
                <w:sz w:val="24"/>
                <w:szCs w:val="24"/>
              </w:rPr>
              <w:t>Departamento de Engenharia</w:t>
            </w:r>
          </w:p>
        </w:tc>
      </w:tr>
      <w:tr w:rsidR="002C2C6F" w:rsidTr="00F36890">
        <w:tc>
          <w:tcPr>
            <w:tcW w:w="3261" w:type="dxa"/>
            <w:vMerge/>
          </w:tcPr>
          <w:p w:rsidR="002C2C6F" w:rsidRDefault="002C2C6F" w:rsidP="00E2010F">
            <w:pPr>
              <w:jc w:val="center"/>
              <w:rPr>
                <w:rFonts w:ascii="Arial Black" w:hAnsi="Arial Black"/>
                <w:sz w:val="40"/>
                <w:szCs w:val="40"/>
              </w:rPr>
            </w:pPr>
          </w:p>
        </w:tc>
        <w:tc>
          <w:tcPr>
            <w:tcW w:w="5459" w:type="dxa"/>
            <w:gridSpan w:val="2"/>
          </w:tcPr>
          <w:p w:rsidR="002C2C6F" w:rsidRPr="00A31675" w:rsidRDefault="002C2C6F" w:rsidP="00A31675">
            <w:pPr>
              <w:rPr>
                <w:rFonts w:ascii="Garamond" w:hAnsi="Garamond" w:cs="Courier New"/>
                <w:sz w:val="24"/>
                <w:szCs w:val="24"/>
              </w:rPr>
            </w:pPr>
            <w:r w:rsidRPr="00A31675">
              <w:rPr>
                <w:rFonts w:ascii="Garamond" w:hAnsi="Garamond" w:cs="Courier New"/>
                <w:sz w:val="24"/>
                <w:szCs w:val="24"/>
              </w:rPr>
              <w:t>Componente Cu</w:t>
            </w:r>
            <w:r>
              <w:rPr>
                <w:rFonts w:ascii="Garamond" w:hAnsi="Garamond" w:cs="Courier New"/>
                <w:sz w:val="24"/>
                <w:szCs w:val="24"/>
              </w:rPr>
              <w:t xml:space="preserve">rricular: </w:t>
            </w:r>
            <w:r w:rsidRPr="00EC12AF">
              <w:rPr>
                <w:rFonts w:ascii="Garamond" w:hAnsi="Garamond" w:cs="Courier New"/>
                <w:b/>
                <w:sz w:val="24"/>
                <w:szCs w:val="24"/>
              </w:rPr>
              <w:t>Cálculo Numérico</w:t>
            </w:r>
          </w:p>
        </w:tc>
      </w:tr>
      <w:tr w:rsidR="002C2C6F" w:rsidTr="009C2B0F">
        <w:tc>
          <w:tcPr>
            <w:tcW w:w="3261" w:type="dxa"/>
            <w:vMerge/>
          </w:tcPr>
          <w:p w:rsidR="002C2C6F" w:rsidRDefault="002C2C6F" w:rsidP="00E2010F">
            <w:pPr>
              <w:jc w:val="center"/>
              <w:rPr>
                <w:rFonts w:ascii="Arial Black" w:hAnsi="Arial Black"/>
                <w:sz w:val="40"/>
                <w:szCs w:val="40"/>
              </w:rPr>
            </w:pPr>
          </w:p>
        </w:tc>
        <w:tc>
          <w:tcPr>
            <w:tcW w:w="5459" w:type="dxa"/>
            <w:gridSpan w:val="2"/>
          </w:tcPr>
          <w:p w:rsidR="002C2C6F" w:rsidRDefault="002C2C6F" w:rsidP="00A31675">
            <w:pPr>
              <w:rPr>
                <w:rFonts w:ascii="Garamond" w:hAnsi="Garamond" w:cs="Courier New"/>
                <w:sz w:val="24"/>
                <w:szCs w:val="24"/>
              </w:rPr>
            </w:pPr>
            <w:r>
              <w:rPr>
                <w:rFonts w:ascii="Garamond" w:hAnsi="Garamond" w:cs="Courier New"/>
                <w:sz w:val="24"/>
                <w:szCs w:val="24"/>
              </w:rPr>
              <w:t>Período: Semestre: 2013.2</w:t>
            </w:r>
          </w:p>
        </w:tc>
      </w:tr>
      <w:tr w:rsidR="002C2C6F" w:rsidTr="00722171">
        <w:tc>
          <w:tcPr>
            <w:tcW w:w="3261" w:type="dxa"/>
            <w:vMerge/>
          </w:tcPr>
          <w:p w:rsidR="002C2C6F" w:rsidRDefault="002C2C6F" w:rsidP="00E2010F">
            <w:pPr>
              <w:jc w:val="center"/>
              <w:rPr>
                <w:rFonts w:ascii="Arial Black" w:hAnsi="Arial Black"/>
                <w:sz w:val="40"/>
                <w:szCs w:val="40"/>
              </w:rPr>
            </w:pPr>
          </w:p>
        </w:tc>
        <w:tc>
          <w:tcPr>
            <w:tcW w:w="5459" w:type="dxa"/>
            <w:gridSpan w:val="2"/>
          </w:tcPr>
          <w:p w:rsidR="002C2C6F" w:rsidRDefault="002C2C6F" w:rsidP="00A31675">
            <w:pPr>
              <w:rPr>
                <w:rFonts w:ascii="Garamond" w:hAnsi="Garamond" w:cs="Courier New"/>
                <w:sz w:val="24"/>
                <w:szCs w:val="24"/>
              </w:rPr>
            </w:pPr>
            <w:r>
              <w:rPr>
                <w:rFonts w:ascii="Garamond" w:hAnsi="Garamond" w:cs="Courier New"/>
                <w:sz w:val="24"/>
                <w:szCs w:val="24"/>
              </w:rPr>
              <w:t xml:space="preserve">Orientador: </w:t>
            </w:r>
            <w:r w:rsidRPr="00EC12AF">
              <w:rPr>
                <w:rFonts w:ascii="Garamond" w:hAnsi="Garamond" w:cs="Courier New"/>
                <w:b/>
                <w:i/>
                <w:sz w:val="24"/>
                <w:szCs w:val="24"/>
              </w:rPr>
              <w:t>Professor Heleno Cardoso</w:t>
            </w:r>
          </w:p>
        </w:tc>
      </w:tr>
      <w:tr w:rsidR="002C2C6F" w:rsidTr="002C2C6F">
        <w:tc>
          <w:tcPr>
            <w:tcW w:w="3261" w:type="dxa"/>
            <w:vMerge/>
          </w:tcPr>
          <w:p w:rsidR="002C2C6F" w:rsidRDefault="002C2C6F" w:rsidP="00E2010F">
            <w:pPr>
              <w:jc w:val="center"/>
              <w:rPr>
                <w:rFonts w:ascii="Arial Black" w:hAnsi="Arial Black"/>
                <w:sz w:val="40"/>
                <w:szCs w:val="40"/>
              </w:rPr>
            </w:pPr>
          </w:p>
        </w:tc>
        <w:tc>
          <w:tcPr>
            <w:tcW w:w="3087" w:type="dxa"/>
          </w:tcPr>
          <w:p w:rsidR="002C2C6F" w:rsidRPr="00A31675" w:rsidRDefault="002C2C6F" w:rsidP="00A31675">
            <w:pPr>
              <w:rPr>
                <w:rFonts w:ascii="Garamond" w:hAnsi="Garamond" w:cs="Courier New"/>
                <w:sz w:val="24"/>
                <w:szCs w:val="24"/>
              </w:rPr>
            </w:pPr>
            <w:r>
              <w:rPr>
                <w:rFonts w:ascii="Garamond" w:hAnsi="Garamond" w:cs="Courier New"/>
                <w:sz w:val="24"/>
                <w:szCs w:val="24"/>
              </w:rPr>
              <w:t>Aluno (a):</w:t>
            </w:r>
          </w:p>
        </w:tc>
        <w:tc>
          <w:tcPr>
            <w:tcW w:w="2372" w:type="dxa"/>
          </w:tcPr>
          <w:p w:rsidR="002C2C6F" w:rsidRPr="00A31675" w:rsidRDefault="002C2C6F" w:rsidP="00A31675">
            <w:pPr>
              <w:rPr>
                <w:rFonts w:ascii="Garamond" w:hAnsi="Garamond" w:cs="Courier New"/>
                <w:sz w:val="24"/>
                <w:szCs w:val="24"/>
              </w:rPr>
            </w:pPr>
            <w:proofErr w:type="spellStart"/>
            <w:r>
              <w:rPr>
                <w:rFonts w:ascii="Garamond" w:hAnsi="Garamond" w:cs="Courier New"/>
                <w:sz w:val="24"/>
                <w:szCs w:val="24"/>
              </w:rPr>
              <w:t>Mat</w:t>
            </w:r>
            <w:proofErr w:type="spellEnd"/>
            <w:r>
              <w:rPr>
                <w:rFonts w:ascii="Garamond" w:hAnsi="Garamond" w:cs="Courier New"/>
                <w:sz w:val="24"/>
                <w:szCs w:val="24"/>
              </w:rPr>
              <w:t>:</w:t>
            </w:r>
          </w:p>
        </w:tc>
      </w:tr>
    </w:tbl>
    <w:p w:rsidR="00281FA4" w:rsidRPr="00281FA4" w:rsidRDefault="00281FA4" w:rsidP="00E2010F">
      <w:pPr>
        <w:jc w:val="center"/>
        <w:rPr>
          <w:rFonts w:ascii="Arial Black" w:hAnsi="Arial Black"/>
          <w:sz w:val="16"/>
          <w:szCs w:val="16"/>
        </w:rPr>
      </w:pPr>
    </w:p>
    <w:p w:rsidR="004C5905" w:rsidRPr="00E2010F" w:rsidRDefault="00E2010F" w:rsidP="00E2010F">
      <w:pPr>
        <w:jc w:val="center"/>
        <w:rPr>
          <w:rFonts w:ascii="Arial Black" w:hAnsi="Arial Black"/>
          <w:sz w:val="40"/>
          <w:szCs w:val="40"/>
        </w:rPr>
      </w:pPr>
      <w:r w:rsidRPr="00E2010F">
        <w:rPr>
          <w:rFonts w:ascii="Arial Black" w:hAnsi="Arial Black"/>
          <w:sz w:val="40"/>
          <w:szCs w:val="40"/>
        </w:rPr>
        <w:t>LISTA DE EXERCÍCIOS III</w:t>
      </w:r>
    </w:p>
    <w:p w:rsidR="004C5905" w:rsidRDefault="004C5905" w:rsidP="004C5905">
      <w:r>
        <w:t xml:space="preserve">1. Resolva o sistema linear pelo Método de Eliminação de Gauss e </w:t>
      </w:r>
      <w:r w:rsidR="00E2010F">
        <w:t xml:space="preserve">pelo </w:t>
      </w:r>
      <w:proofErr w:type="spellStart"/>
      <w:r w:rsidR="00E2010F">
        <w:t>P</w:t>
      </w:r>
      <w:r>
        <w:t>ivoteamento</w:t>
      </w:r>
      <w:proofErr w:type="spellEnd"/>
      <w:r>
        <w:t xml:space="preserve"> </w:t>
      </w:r>
      <w:r w:rsidR="00E2010F">
        <w:t xml:space="preserve">Parcial </w:t>
      </w:r>
      <w:r>
        <w:t>e faça a co</w:t>
      </w:r>
      <w:r>
        <w:t xml:space="preserve">mparação entre os resultados: </w:t>
      </w:r>
    </w:p>
    <w:p w:rsidR="004C5905" w:rsidRDefault="004C5905" w:rsidP="004C5905">
      <w:r w:rsidRPr="004C5905">
        <w:t xml:space="preserve">                 </w:t>
      </w:r>
      <w:r>
        <w:rPr>
          <w:noProof/>
          <w:lang w:eastAsia="pt-BR"/>
        </w:rPr>
        <w:drawing>
          <wp:inline distT="0" distB="0" distL="0" distR="0">
            <wp:extent cx="3714750" cy="9048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5905">
        <w:t xml:space="preserve">  </w:t>
      </w:r>
      <w:r>
        <w:t xml:space="preserve">    </w:t>
      </w:r>
    </w:p>
    <w:p w:rsidR="004C5905" w:rsidRDefault="004C5905" w:rsidP="004C5905">
      <w:r>
        <w:t>2. Resolva o sistema linear pelo Método de Eliminação de Jordan:</w:t>
      </w:r>
      <w:proofErr w:type="gramStart"/>
      <w:r>
        <w:t xml:space="preserve">   </w:t>
      </w:r>
    </w:p>
    <w:p w:rsidR="004C5905" w:rsidRDefault="004C5905" w:rsidP="004C5905">
      <w:proofErr w:type="gramEnd"/>
      <w:r>
        <w:t xml:space="preserve">                      </w:t>
      </w:r>
      <w:r w:rsidR="00E2010F">
        <w:rPr>
          <w:noProof/>
          <w:lang w:eastAsia="pt-BR"/>
        </w:rPr>
        <w:drawing>
          <wp:inline distT="0" distB="0" distL="0" distR="0">
            <wp:extent cx="2495550" cy="609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905" w:rsidRDefault="004C5905" w:rsidP="004C5905">
      <w:r>
        <w:t>3. Resolva o sistema linear a seguir utilizando a Decomposição LU sendo</w:t>
      </w:r>
      <w:proofErr w:type="gramStart"/>
      <w:r>
        <w:t xml:space="preserve">    </w:t>
      </w:r>
    </w:p>
    <w:p w:rsidR="004C5905" w:rsidRDefault="004C5905" w:rsidP="004C5905">
      <w:proofErr w:type="gramEnd"/>
      <w:r>
        <w:t xml:space="preserve">                     </w:t>
      </w:r>
      <w:r w:rsidR="00E2010F">
        <w:rPr>
          <w:noProof/>
          <w:lang w:eastAsia="pt-BR"/>
        </w:rPr>
        <w:drawing>
          <wp:inline distT="0" distB="0" distL="0" distR="0">
            <wp:extent cx="2457450" cy="14192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905" w:rsidRDefault="004C5905" w:rsidP="004C5905">
      <w:r>
        <w:t xml:space="preserve">  4. Resolver pelo método de Gauss-Jacobi, com precisão relativa 0.01, o sistema abaixo considerando como primeira aproximação X(0) = (1, 1, 1).    </w:t>
      </w:r>
    </w:p>
    <w:p w:rsidR="00E2010F" w:rsidRDefault="004C5905" w:rsidP="004C5905">
      <w:r>
        <w:t xml:space="preserve">            </w:t>
      </w:r>
      <w:r w:rsidR="00E2010F">
        <w:tab/>
      </w:r>
      <w:r>
        <w:t xml:space="preserve">       </w:t>
      </w:r>
      <w:r w:rsidR="00E2010F">
        <w:rPr>
          <w:noProof/>
          <w:lang w:eastAsia="pt-BR"/>
        </w:rPr>
        <w:drawing>
          <wp:inline distT="0" distB="0" distL="0" distR="0" wp14:anchorId="5A034AB4" wp14:editId="4B55BEAC">
            <wp:extent cx="2505075" cy="5619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905" w:rsidRDefault="004C5905" w:rsidP="004C5905">
      <w:r>
        <w:t>5. Resolver pelo método de Gauss-</w:t>
      </w:r>
      <w:proofErr w:type="spellStart"/>
      <w:r>
        <w:t>Seidel</w:t>
      </w:r>
      <w:proofErr w:type="spellEnd"/>
      <w:r>
        <w:t xml:space="preserve">, com precisão relativa 10-2, o sistema abaixo considerando como primeira aproximação X(0) = (0, 0, 0).    </w:t>
      </w:r>
    </w:p>
    <w:p w:rsidR="002E6A3A" w:rsidRDefault="004C5905" w:rsidP="004C5905">
      <w:r>
        <w:t xml:space="preserve">                     </w:t>
      </w:r>
      <w:r w:rsidR="00E2010F">
        <w:t xml:space="preserve"> </w:t>
      </w:r>
      <w:r w:rsidR="00E2010F">
        <w:rPr>
          <w:noProof/>
          <w:lang w:eastAsia="pt-BR"/>
        </w:rPr>
        <w:drawing>
          <wp:inline distT="0" distB="0" distL="0" distR="0">
            <wp:extent cx="2324100" cy="5619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6A3A" w:rsidSect="00281FA4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905"/>
    <w:rsid w:val="00025BF7"/>
    <w:rsid w:val="00281FA4"/>
    <w:rsid w:val="002C2C6F"/>
    <w:rsid w:val="002E6A3A"/>
    <w:rsid w:val="004C5905"/>
    <w:rsid w:val="00A31675"/>
    <w:rsid w:val="00E2010F"/>
    <w:rsid w:val="00EC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C5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590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201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C5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590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201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7</cp:revision>
  <dcterms:created xsi:type="dcterms:W3CDTF">2013-11-02T13:49:00Z</dcterms:created>
  <dcterms:modified xsi:type="dcterms:W3CDTF">2013-11-02T14:33:00Z</dcterms:modified>
</cp:coreProperties>
</file>