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D8265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RP1 线束制作规范</w:t>
      </w:r>
    </w:p>
    <w:p w14:paraId="0325316E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适用范围与资料依据</w:t>
      </w:r>
    </w:p>
    <w:p w14:paraId="74A11EBA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适用于 RP1 内部线束的备料、裁线、端接、套管、装配与检验，覆盖头部、主控、手部、腿部、背板和腰部。</w:t>
      </w:r>
    </w:p>
    <w:p w14:paraId="32DF864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物料与数量查阅 RP1_Harness_BOM.xlsx；尺寸、公差、线色、线序及制作要求查阅 Drawings/ 内对应图纸。BOM 表内线束名称可打开图纸；ARM_10线材对应 ARM_10_信号线.pdf。</w:t>
      </w:r>
    </w:p>
    <w:p w14:paraId="7F0BEFF1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本文件给出通用工艺。具体线束按其图纸制作；压接高度、焊接、固化及电气测试条件按图纸和所用材料、端子、连接器的规格书执行。</w:t>
      </w:r>
    </w:p>
    <w:p w14:paraId="00F2F860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备料与工装</w:t>
      </w:r>
    </w:p>
    <w:tbl>
      <w:tblPr>
        <w:tblStyle w:val="32"/>
        <w:tblW w:w="1003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8386"/>
      </w:tblGrid>
      <w:tr w14:paraId="781F8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8" w:type="dxa"/>
            <w:tcBorders>
              <w:top w:val="single" w:color="D4DEE8" w:sz="12" w:space="0"/>
              <w:left w:val="nil"/>
              <w:bottom w:val="nil"/>
              <w:right w:val="nil"/>
            </w:tcBorders>
            <w:shd w:val="clear" w:color="auto" w:fill="24486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376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8386" w:type="dxa"/>
            <w:tcBorders>
              <w:top w:val="single" w:color="D4DEE8" w:sz="12" w:space="0"/>
              <w:left w:val="nil"/>
              <w:bottom w:val="nil"/>
              <w:right w:val="nil"/>
            </w:tcBorders>
            <w:shd w:val="clear" w:color="auto" w:fill="24486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1BD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0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核对要求</w:t>
            </w:r>
          </w:p>
        </w:tc>
      </w:tr>
      <w:tr w14:paraId="08923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8" w:type="dxa"/>
            <w:tcBorders>
              <w:top w:val="single" w:color="D4DEE8" w:sz="4" w:space="0"/>
              <w:left w:val="nil"/>
              <w:bottom w:val="nil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A3A2A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线材</w:t>
            </w:r>
          </w:p>
        </w:tc>
        <w:tc>
          <w:tcPr>
            <w:tcW w:w="8386" w:type="dxa"/>
            <w:tcBorders>
              <w:top w:val="single" w:color="D4DEE8" w:sz="4" w:space="0"/>
              <w:left w:val="nil"/>
              <w:bottom w:val="nil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231C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按图纸核对规格、颜色、根数与长度；不得以同系列线束的选型替代。</w:t>
            </w:r>
          </w:p>
        </w:tc>
      </w:tr>
      <w:tr w14:paraId="20E95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182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连接器与端子</w:t>
            </w:r>
          </w:p>
        </w:tc>
        <w:tc>
          <w:tcPr>
            <w:tcW w:w="8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298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核对型号、针数、端子配套关系、插装方向和锁扣；按图纸区分 A/B 或 J1/J2 端。</w:t>
            </w:r>
          </w:p>
        </w:tc>
      </w:tr>
      <w:tr w14:paraId="773B0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D74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辅材</w:t>
            </w:r>
          </w:p>
        </w:tc>
        <w:tc>
          <w:tcPr>
            <w:tcW w:w="8386" w:type="dxa"/>
            <w:tcBorders>
              <w:top w:val="nil"/>
              <w:left w:val="nil"/>
              <w:bottom w:val="nil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BDD7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核对热缩管规格与长度、胶带及 UV 胶。材料应符合图纸规定的环保要求；无铅焊料不得使用含铅配方。</w:t>
            </w:r>
          </w:p>
        </w:tc>
      </w:tr>
      <w:tr w14:paraId="7A2C9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C85B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制作工具</w:t>
            </w:r>
          </w:p>
        </w:tc>
        <w:tc>
          <w:tcPr>
            <w:tcW w:w="8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839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裁线与剥线工具、适配端子的棘轮压接钳或压接台、恒温焊台；按工艺准备热风枪、绞线工装和 UV 灯。</w:t>
            </w:r>
          </w:p>
        </w:tc>
      </w:tr>
      <w:tr w14:paraId="2AE58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8" w:type="dxa"/>
            <w:tcBorders>
              <w:top w:val="nil"/>
              <w:left w:val="nil"/>
              <w:bottom w:val="single" w:color="D4DEE8" w:sz="12" w:space="0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8C7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检验工具</w:t>
            </w:r>
          </w:p>
        </w:tc>
        <w:tc>
          <w:tcPr>
            <w:tcW w:w="8386" w:type="dxa"/>
            <w:tcBorders>
              <w:top w:val="nil"/>
              <w:left w:val="nil"/>
              <w:bottom w:val="single" w:color="D4DEE8" w:sz="12" w:space="0"/>
              <w:right w:val="nil"/>
            </w:tcBorders>
            <w:shd w:val="clear" w:color="auto" w:fill="F2F6FA"/>
            <w:noWrap w:val="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511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尺寸量具、压接高度量具、拉力计及线束导通治具；绝缘、耐压测试设备按对应检验要求准备。</w:t>
            </w:r>
          </w:p>
        </w:tc>
      </w:tr>
    </w:tbl>
    <w:p w14:paraId="674480CA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通用制作流程</w:t>
      </w:r>
      <w:bookmarkStart w:id="0" w:name="_GoBack"/>
      <w:bookmarkEnd w:id="0"/>
    </w:p>
    <w:tbl>
      <w:tblPr>
        <w:tblStyle w:val="32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8189"/>
      </w:tblGrid>
      <w:tr w14:paraId="02FD1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567F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工序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B1C7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操作要求</w:t>
            </w:r>
          </w:p>
        </w:tc>
      </w:tr>
      <w:tr w14:paraId="05852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799E1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备料与裁线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0F40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按对应图纸领料、裁线，控制图纸规定的长度和公差；两端临时标识，防止混线。</w:t>
            </w:r>
          </w:p>
        </w:tc>
      </w:tr>
      <w:tr w14:paraId="35CF3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5E0A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剥线与绞线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A9B1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剥线长度适配端接方式，不得伤线、断股或散丝；双绞段及屏蔽层处理按图纸。</w:t>
            </w:r>
          </w:p>
        </w:tc>
      </w:tr>
      <w:tr w14:paraId="069B5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D65A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端接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6EA5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压接、焊接分别按第 4 节执行；端接前核对针脚编号、观察面与线色。</w:t>
            </w:r>
          </w:p>
        </w:tc>
      </w:tr>
      <w:tr w14:paraId="5C7C0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8B18E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保护与装配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1C6C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预套热缩管，端接后按图纸点胶、固化、热缩并扣合壳体；保护位置不得影响插接和锁扣。</w:t>
            </w:r>
          </w:p>
        </w:tc>
      </w:tr>
      <w:tr w14:paraId="154BC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9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1A92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检验与交付</w:t>
            </w:r>
          </w:p>
        </w:tc>
        <w:tc>
          <w:tcPr>
            <w:tcW w:w="408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B44B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逐根核验外观、尺寸、线序与导通；完成规定的抽检和记录后，按 BOM 名称与数量分类交付。</w:t>
            </w:r>
          </w:p>
        </w:tc>
      </w:tr>
    </w:tbl>
    <w:p w14:paraId="37956DEE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br w:type="page"/>
      </w:r>
    </w:p>
    <w:p w14:paraId="25BC84BC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端接与保护要求</w:t>
      </w:r>
    </w:p>
    <w:p w14:paraId="0C5D8675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端子压接</w:t>
      </w:r>
    </w:p>
    <w:p w14:paraId="7AB06629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使用与端子型号、线材规格匹配的工具和模具。禁止用尖嘴钳或斜口钳代替压接工具。</w:t>
      </w:r>
    </w:p>
    <w:p w14:paraId="5203E37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导体压接翼完整包住芯线，导体和绝缘皮的位置按端子规格书控制；绝缘压接翼抱紧外皮，不得切破绝缘。导体应无断股、散丝，端子不得歪斜、开裂或变形。</w:t>
      </w:r>
    </w:p>
    <w:p w14:paraId="260C139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首件测量压接高度，按端子规格书判定；检查端子接触部位和锁止结构，确保无堵塞和损伤。</w:t>
      </w:r>
    </w:p>
    <w:p w14:paraId="5ED65B8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按图纸线序插入壳体，确认锁止到位并回拉检查。端子不得脱出、错位或异常窜动。</w:t>
      </w:r>
    </w:p>
    <w:p w14:paraId="684260D7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XT 系列焊接</w:t>
      </w:r>
    </w:p>
    <w:p w14:paraId="7DAB4F4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焊接前核对插头极性和线序，预先套入所需热缩管。按工艺对焊杯和线头上锡，控制温度与时间，避免损伤壳体或导线绝缘。</w:t>
      </w:r>
    </w:p>
    <w:p w14:paraId="628FC994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焊点应饱满、无虚焊、连锡、拉尖及散丝；冷却前不得拉扯导线。按图纸要求在焊点处点透明 UV 胶，并按胶材固化要求完成固化。</w:t>
      </w:r>
    </w:p>
    <w:p w14:paraId="105AB917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电源线极性和针脚对应关系按各自图纸核对；制作、检验时线束与电池及设备断开，通电前确认极性与绝缘。</w:t>
      </w:r>
    </w:p>
    <w:p w14:paraId="25A155ED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Body01 接线示例</w:t>
      </w:r>
    </w:p>
    <w:p w14:paraId="52BC356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以下仅对应 RP1-BODY01-0线材.pdf 的接线表；观察面为图纸所示焊接面。其他线束使用各自图纸的针脚与颜色定义。</w:t>
      </w:r>
    </w:p>
    <w:tbl>
      <w:tblPr>
        <w:tblStyle w:val="32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1903"/>
        <w:gridCol w:w="1903"/>
        <w:gridCol w:w="1903"/>
        <w:gridCol w:w="1904"/>
      </w:tblGrid>
      <w:tr w14:paraId="29A97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6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D1A0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对应项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2FFD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BD81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FEB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+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554C8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−</w:t>
            </w:r>
          </w:p>
        </w:tc>
      </w:tr>
      <w:tr w14:paraId="59300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6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7C4EC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A 端焊杯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149D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1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28C2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2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8523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+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31C3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−</w:t>
            </w:r>
          </w:p>
        </w:tc>
      </w:tr>
      <w:tr w14:paraId="401B1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6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9A6E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线色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9E90C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白色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2B4D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黑色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DCFB3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棕色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3C7A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银色</w:t>
            </w:r>
          </w:p>
        </w:tc>
      </w:tr>
      <w:tr w14:paraId="0026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6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56C9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B 端焊杯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4651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1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2718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2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0E04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+</w:t>
            </w:r>
          </w:p>
        </w:tc>
        <w:tc>
          <w:tcPr>
            <w:tcW w:w="948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F4BB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−</w:t>
            </w:r>
          </w:p>
        </w:tc>
      </w:tr>
    </w:tbl>
    <w:p w14:paraId="780BAB3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Body01 黑、白两线按图纸互绞，棕、银两线按图纸排布。套管采用 Ø6.0 和 Ø7.0 黑色超薄热缩套管，长度与位置按该图纸。</w:t>
      </w:r>
    </w:p>
    <w:p w14:paraId="57B5E5E6">
      <w:pPr>
        <w:pStyle w:val="4"/>
        <w:numPr>
          <w:ilvl w:val="0"/>
          <w:numId w:val="8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套管与装配</w:t>
      </w:r>
    </w:p>
    <w:p w14:paraId="67465E7C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按图纸安装热缩管、胶带和标识；热缩温度按管材要求控制，均匀加热至贴合，表面无气泡、烤焦或破损。</w:t>
      </w:r>
    </w:p>
    <w:p w14:paraId="399104B6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保护材料完整覆盖规定部位；壳体扣合到位，锁扣可正常动作。以太网线束保持图纸要求的双绞结构和屏蔽处理。</w:t>
      </w:r>
    </w:p>
    <w:p w14:paraId="6259CFB4">
      <w:pPr>
        <w:pStyle w:val="3"/>
        <w:numPr>
          <w:ilvl w:val="0"/>
          <w:numId w:val="7"/>
        </w:numPr>
        <w:ind w:left="0" w:leftChars="0" w:firstLine="0" w:firstLineChars="0"/>
        <w:rPr>
          <w:rFonts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检验与交付</w:t>
      </w:r>
    </w:p>
    <w:p w14:paraId="71CC00F5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检验以对应线束图纸、接线表和所用器件规格书为判定依据。图纸规定的电压、电阻、持续时间、长度公差及拉力要求应分别执行。</w:t>
      </w:r>
    </w:p>
    <w:tbl>
      <w:tblPr>
        <w:tblStyle w:val="32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961"/>
        <w:gridCol w:w="6344"/>
      </w:tblGrid>
      <w:tr w14:paraId="056BC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9BCD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4818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24486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EAC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合格要求</w:t>
            </w:r>
          </w:p>
        </w:tc>
      </w:tr>
      <w:tr w14:paraId="2D326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51A0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外观与尺寸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15ED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逐根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0C9D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线材、连接器、端子、热缩管与图纸一致；尺寸和分段位置符合图纸公差。壳体与锁扣完好，绝缘无划伤、烫痕和死折。</w:t>
            </w:r>
          </w:p>
        </w:tc>
      </w:tr>
      <w:tr w14:paraId="6BE2E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5F98C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压接与焊点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306F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逐根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F0BA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压接完整、端子锁止可靠；焊点无虚焊、连锡及散丝，图纸要求的 UV 胶与保护材料到位。</w:t>
            </w:r>
          </w:p>
        </w:tc>
      </w:tr>
      <w:tr w14:paraId="6208A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C315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导通与线序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3B6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逐根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E9E6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按接线表逐点检查对应端子，确认无断路、短路及错位。导通电阻按图纸检验条件判定。</w:t>
            </w:r>
          </w:p>
        </w:tc>
      </w:tr>
      <w:tr w14:paraId="559FF869"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65595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以太网线束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4146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逐根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D9DE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逐芯核对 8 芯线序与导通，检查各芯之间短路；双绞、端子方向和屏蔽处理按图纸。</w:t>
            </w:r>
          </w:p>
        </w:tc>
      </w:tr>
      <w:tr w14:paraId="68A07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77C2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绝缘与耐压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BFA6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按图纸及检验要求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242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独立线束按规定测试条件检验，绝缘电阻、漏电流及结果符合要求，无击穿或飞弧。电源类线束逐根检验。</w:t>
            </w:r>
          </w:p>
        </w:tc>
      </w:tr>
      <w:tr w14:paraId="193AF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89A9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压接拉力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A6FBA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首件及抽检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5ACA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按端子与线材适用规格检验拉力。每批首件做破坏性拉力试验，之后每 50 件抽检 1 件；破坏性试件不得用于装机。</w:t>
            </w:r>
          </w:p>
        </w:tc>
      </w:tr>
      <w:tr w14:paraId="608D6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EE8D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焊点拉脱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FB4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抽检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2F6F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0C7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按适用要求检验，焊点不得开裂，导线与点胶保护不得失效。</w:t>
            </w:r>
          </w:p>
        </w:tc>
      </w:tr>
      <w:tr w14:paraId="280A3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1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3FBC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温升与载流</w:t>
            </w:r>
          </w:p>
        </w:tc>
        <w:tc>
          <w:tcPr>
            <w:tcW w:w="977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5B0C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新机型或换料时</w:t>
            </w:r>
          </w:p>
        </w:tc>
        <w:tc>
          <w:tcPr>
            <w:tcW w:w="3160" w:type="pct"/>
            <w:tcBorders>
              <w:top w:val="single" w:color="D4DEE8" w:sz="4" w:space="0"/>
              <w:left w:val="single" w:color="D4DEE8" w:sz="4" w:space="0"/>
              <w:bottom w:val="single" w:color="D4DEE8" w:sz="4" w:space="0"/>
              <w:right w:val="single" w:color="D4DEE8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BC7D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253746"/>
                <w:sz w:val="20"/>
              </w:rPr>
              <w:t>按实际线材、连接器和系统要求进行型式验证；试验条件及结果留存。</w:t>
            </w:r>
          </w:p>
        </w:tc>
      </w:tr>
    </w:tbl>
    <w:p w14:paraId="47954FF4">
      <w:pPr>
        <w:pStyle w:val="4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批次与异常处理</w:t>
      </w:r>
    </w:p>
    <w:p w14:paraId="15B9C678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同线束型号、同操作人员、同线材作为拉力检验批次。首件不合格或抽检不合格时隔离相关批次，调整工具或工艺并重新检验，合格后交付。</w:t>
      </w:r>
    </w:p>
    <w:p w14:paraId="3E25DC50">
      <w:pPr>
        <w:pStyle w:val="4"/>
        <w:numPr>
          <w:ilvl w:val="0"/>
          <w:numId w:val="9"/>
        </w:numPr>
        <w:ind w:left="0" w:leftChars="0" w:firstLine="0" w:firstLineChars="0"/>
        <w:rPr>
          <w:rFonts w:eastAsia="黑体"/>
          <w:b w:val="0"/>
          <w:bCs w:val="0"/>
          <w:sz w:val="30"/>
          <w:szCs w:val="32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0"/>
          <w:szCs w:val="32"/>
        </w:rPr>
        <w:t>检验记录与交付</w:t>
      </w:r>
    </w:p>
    <w:p w14:paraId="46CEE982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每批保留首件压接高度、破坏性拉力、逐根导通结果及规定的绝缘、耐压抽检记录；记录应能对应线束名称和批次。</w:t>
      </w:r>
    </w:p>
    <w:p w14:paraId="7FA8FE2F">
      <w:pPr>
        <w:pStyle w:val="19"/>
        <w:widowControl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253746"/>
          <w:sz w:val="24"/>
          <w:szCs w:val="24"/>
        </w:rPr>
        <w:t>检验合格后，按 RP1_Harness_BOM.xlsx 的线束名称分类并清点数量；需标识时按图纸标注。电池供电类线束交付前再次核对极性。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E3AF7">
    <w:pPr>
      <w:pStyle w:val="24"/>
      <w:jc w:val="center"/>
    </w:pPr>
    <w:r>
      <w:rPr>
        <w:rFonts w:ascii="微软雅黑" w:hAnsi="微软雅黑" w:eastAsia="微软雅黑"/>
        <w:b w:val="0"/>
        <w:color w:val="66788A"/>
        <w:sz w:val="18"/>
      </w:rPr>
      <w:t xml:space="preserve">线束制作规范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b w:val="0"/>
        <w:color w:val="66788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42936">
    <w:pPr>
      <w:pStyle w:val="25"/>
      <w:spacing w:after="40"/>
      <w:jc w:val="right"/>
    </w:pPr>
    <w:r>
      <w:rPr>
        <w:rFonts w:ascii="微软雅黑" w:hAnsi="微软雅黑" w:eastAsia="微软雅黑"/>
        <w:b w:val="0"/>
        <w:color w:val="66788A"/>
        <w:sz w:val="18"/>
      </w:rPr>
      <w:t>RoboParty · RP1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C9B5A"/>
    <w:multiLevelType w:val="singleLevel"/>
    <w:tmpl w:val="99DC9B5A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">
    <w:nsid w:val="B5A2E1C1"/>
    <w:multiLevelType w:val="singleLevel"/>
    <w:tmpl w:val="B5A2E1C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CD32BE6F"/>
    <w:multiLevelType w:val="singleLevel"/>
    <w:tmpl w:val="CD32BE6F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8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uiPriority w:val="99"/>
  </w:style>
  <w:style w:type="character" w:customStyle="1" w:styleId="146">
    <w:name w:val="Body Text 2 Char"/>
    <w:basedOn w:val="139"/>
    <w:link w:val="28"/>
    <w:uiPriority w:val="99"/>
  </w:style>
  <w:style w:type="character" w:customStyle="1" w:styleId="147">
    <w:name w:val="Body Text 3 Char"/>
    <w:basedOn w:val="139"/>
    <w:link w:val="17"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1867</Words>
  <Characters>1994</Characters>
  <Lines>0</Lines>
  <Paragraphs>0</Paragraphs>
  <TotalTime>2</TotalTime>
  <ScaleCrop>false</ScaleCrop>
  <LinksUpToDate>false</LinksUpToDate>
  <CharactersWithSpaces>2048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RoboParty</dc:creator>
  <cp:keywords>RP1,线束,制作,压接,焊接,检验</cp:keywords>
  <cp:lastModifiedBy>擎天娃娃</cp:lastModifiedBy>
  <dcterms:modified xsi:type="dcterms:W3CDTF">2026-09-30T11:55:43Z</dcterms:modified>
  <dc:subject>RP1 线束制作与检验要求</dc:subject>
  <dc:title>RP1 线束制作规范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eyJoZGlkIjoiYTI3ODMwMTQ1ZWQ3MmUyNDdmMmQzMjc3NDc2OGU1NGYiLCJ1c2VySWQiOiIyOTg3MzYyNDUifQ==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046629147D9C469588B4B4EDAC1917DE_12</vt:lpwstr>
  </property>
</Properties>
</file>