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0B3D66"/>
          <w:sz w:val="52"/>
          <w:szCs w:val="52"/>
        </w:rPr>
        <w:t xml:space="preserve">Enterprise AI Readiness Navigator (EAIRN)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1B6CA8"/>
          <w:sz w:val="28"/>
          <w:szCs w:val="28"/>
        </w:rPr>
        <w:t xml:space="preserve">Product Blueprint &amp; Claude Code Implementation Guide — Detailed Specification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A6B7A"/>
          <w:sz w:val="22"/>
          <w:szCs w:val="22"/>
        </w:rPr>
        <w:t xml:space="preserve">Version 2.0 (Detailed) · August 2026 · Vendor-Neutral · Metadata-Only by Default</w:t>
      </w:r>
    </w:p>
    <w:p>
      <w:pPr>
        <w:pageBreakBefore/>
        <w:spacing w:after="16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Contents</w:t>
      </w:r>
    </w:p>
    <w:p>
      <w:pPr>
        <w:spacing w:after="7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1. Executive Summary</w:t>
      </w:r>
    </w:p>
    <w:p>
      <w:pPr>
        <w:spacing w:after="7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2. Business Problem</w:t>
      </w:r>
    </w:p>
    <w:p>
      <w:pPr>
        <w:spacing w:after="7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3. Product Vision</w:t>
      </w:r>
    </w:p>
    <w:p>
      <w:pPr>
        <w:spacing w:after="7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4. Reference Architecture</w:t>
      </w:r>
    </w:p>
    <w:p>
      <w:pPr>
        <w:spacing w:after="7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5. Assessment Pillars</w:t>
      </w:r>
    </w:p>
    <w:p>
      <w:pPr>
        <w:spacing w:after="7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6. Snowflake Assessment Module</w:t>
      </w:r>
    </w:p>
    <w:p>
      <w:pPr>
        <w:spacing w:after="7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7. Databricks Assessment Module</w:t>
      </w:r>
    </w:p>
    <w:p>
      <w:pPr>
        <w:spacing w:after="7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8. Microsoft Fabric Assessment Module</w:t>
      </w:r>
    </w:p>
    <w:p>
      <w:pPr>
        <w:spacing w:after="7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9. BigQuery Assessment Module</w:t>
      </w:r>
    </w:p>
    <w:p>
      <w:pPr>
        <w:spacing w:after="7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10. Oracle Exadata Assessment Module</w:t>
      </w:r>
    </w:p>
    <w:p>
      <w:pPr>
        <w:spacing w:after="7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11. Governance Tool Integrations</w:t>
      </w:r>
    </w:p>
    <w:p>
      <w:pPr>
        <w:spacing w:after="7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12. Data Quality Tool Integrations</w:t>
      </w:r>
    </w:p>
    <w:p>
      <w:pPr>
        <w:spacing w:after="7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13. Scoring Framework</w:t>
      </w:r>
    </w:p>
    <w:p>
      <w:pPr>
        <w:spacing w:after="7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14. Agent Readiness Index (ARI)</w:t>
      </w:r>
    </w:p>
    <w:p>
      <w:pPr>
        <w:spacing w:after="7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15. RAG Readiness Index (RRI)</w:t>
      </w:r>
    </w:p>
    <w:p>
      <w:pPr>
        <w:spacing w:after="7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16. Executive Dashboard</w:t>
      </w:r>
    </w:p>
    <w:p>
      <w:pPr>
        <w:spacing w:after="7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17. Claude Code Build Plan</w:t>
      </w:r>
    </w:p>
    <w:p>
      <w:pPr>
        <w:spacing w:after="7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18. Product Roadmap</w:t>
      </w:r>
    </w:p>
    <w:p>
      <w:pPr>
        <w:spacing w:after="7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19. Commercialization</w:t>
      </w:r>
    </w:p>
    <w:p>
      <w:pPr>
        <w:spacing w:after="7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20. Sample Assessment Questionnaire</w:t>
      </w:r>
    </w:p>
    <w:p>
      <w:pPr>
        <w:pStyle w:val="Heading1"/>
        <w:pageBreakBefore/>
        <w:spacing w:after="160" w:before="24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EAIRN is a vendor-neutral assessment and advisory platform that answers a question every enterprise is now asking: "Is our data platform actually ready for GenAI, agentic AI, and RAG — and if not, what exactly do we fix first?" EAIRN connects read-only to the metadata, governance, lineage, catalog, quality, and security layers of the estate, computes a weighted, evidence-backed readiness score across eight pillars, benchmarks the organization against industry peers, and produces a prioritized, costed remediation roadmap.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A36"/>
          <w:sz w:val="22"/>
          <w:szCs w:val="22"/>
        </w:rPr>
        <w:t xml:space="preserve">Five design principles differentiate EAIRN from generic "AI maturity" surveys: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Evidence over opinion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every score is derived from automated checks against platform metadata, not self-reported questionnaires. Questionnaires supplement, never replace, machine evidence.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Metadata-only by default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EAIRN profiles from system catalogs, ACCOUNT_USAGE-class views, and governance APIs. Row-level sampling is off by default and requires explicit, logged, per-dataset customer authorization.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Rubrics as data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scoring criteria, weights, grade bands, and benchmark cohorts are stored in versioned configuration tables — never hardcoded — so every assessment is reproducible and auditable.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Explainable inferences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every automated finding carries a confidence score and a rationale; low-confidence findings are routed to a human reviewer before they affect the score.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Reproducible snapshots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each assessment run is a keyed, immutable snapshot (rubric version + evidence set + scores) that can be replayed and defended in audit or regulatory contexts.</w:t>
      </w:r>
    </w:p>
    <w:p>
      <w:pPr>
        <w:pStyle w:val="Heading1"/>
        <w:pageBreakBefore/>
        <w:spacing w:after="160" w:before="24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2. Business Problem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Organizations repeatedly ask whether their data platform can support GenAI copilots, autonomous agents, and self-service natural-language analytics. Today the answers they get are unsatisfying for three reasons: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Survey fatigue, weak signal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existing "AI maturity assessments" are consultant-led questionnaires. They measure perception, not the platform. Two teams in the same company routinely give contradictory answers.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AI-readiness is multidimensional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a platform can have excellent warehouses and terrible metadata; strong BI semantic layers and zero lineage; robust security and no PII classification. Any one gap can sink an agent or RAG initiative, but no single team owns the composite 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Remediation is unprioritized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even when gaps are known, leaders lack a defensible way to sequence investment. "Fix governance" is not a roadmap; "raise ownership coverage of Tier-1 datasets from 41% to 90% in two quarters, unblocking the agent program" is.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The cost of getting this wrong is concrete: failed copilot pilots that hallucinate on ungoverned data, agents granted over-broad credentials, RAG systems that index stale or sensitive content, and multi-million-dollar AI programs paused by security review. EAIRN converts this ambiguity into a scored, benchmarked, evidence-backed program plan.</w:t>
      </w:r>
    </w:p>
    <w:p>
      <w:pPr>
        <w:pStyle w:val="Heading1"/>
        <w:pageBreakBefore/>
        <w:spacing w:after="160" w:before="24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3. Product Vision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EAIRN connects to the metadata, governance, lineage, catalog, quality, and security layers of an enterprise data estate and generates readiness scores, peer benchmarks, and remediation recommendations — continuously, not as a one-time engagement.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Vision Statement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1F2A36"/>
          <w:sz w:val="22"/>
          <w:szCs w:val="22"/>
        </w:rPr>
        <w:t xml:space="preserve">"Every enterprise should be able to see, in one dashboard, exactly how ready its data estate is for AI — scored from evidence, benchmarked against peers, and paired with the shortest credible path to ready."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What EAIRN 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A read-only, least-privilege assessment engine over platform metadata and governance APIs.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A scoring and benchmarking service with versioned, data-driven rubrics.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An AI Advisor that converts findings into sequenced, effort-estimated remediation plans with human approval gates.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A continuous monitor that re-scores on a schedule and alerts on regression.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What EAIRN Is Not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Not a data catalog, DQ tool, or governance platform — it integrates with and scores those investments.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Not a row-data profiler by default — it never reads customer row data without explicit, scoped, logged permission.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Not an auto-remediator — it recommends and drafts fixes; humans approve and execute promotion to production.</w:t>
      </w:r>
    </w:p>
    <w:p>
      <w:pPr>
        <w:pStyle w:val="Heading1"/>
        <w:pageBreakBefore/>
        <w:spacing w:after="160" w:before="24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4. Reference Architecture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EAIRN is composed of seven cooperating services. All inter-service contracts are tool-neutral YAML/JSON specifications; platform-specific artifacts (SQL, API calls, dashboards) are generated renderings of that source of truth and are header-stamped as auto-generated.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60"/>
        <w:gridCol w:w="3900"/>
      </w:tblGrid>
      <w:tr>
        <w:trPr>
          <w:tblHeader/>
        </w:trPr>
        <w:tc>
          <w:tcPr>
            <w:tcW w:type="dxa" w:w="18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6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9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Design Notes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Portal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Web UI for assessments, dashboards, evidence review, and approvals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Next.js; RBAC-scoped views for Exec, Architect, Steward personas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Connector Framework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Pluggable, read-only adapters per platform/tool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Least-privilege service accounts; per-connector permission manifest published to customer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Metadata Engine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Harvests and normalizes metadata into a common model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Canonical entity model: Dataset, Column, Lineage Edge, Policy, Tag, Owner, Usage Event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Governance Engine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Evaluates policy, classification, ownership, and access posture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PII tag propagation is verified mechanically across lineage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Scoring Engine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Applies versioned rubric to evidence; emits scores + grades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Rubric, weights, and bands stored as data; every score keyed to a snapshot 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Recommendation Engine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Maps gaps to remediation playbooks with effort/impact estimates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Each recommendation carries confidence + rationale; human approval required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AI Advisor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Conversational layer over findings; drafts roadmaps and exec narratives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LLM-backed; grounded strictly in the assessment snapshot, with citations to evidence IDs</w:t>
            </w:r>
          </w:p>
        </w:tc>
      </w:tr>
    </w:tbl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Data Flow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Connect: customer provisions a least-privilege service principal per the connector permission manifest.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Harvest: Metadata Engine pulls catalogs, lineage, tags, policies, and usage into the canonical model. No row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Evaluate: check library runs; each check emits evidence records (check ID, target, result, confidence, rationale).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Score: Scoring Engine applies the active rubric version; produces pillar scores, composite score, and grade.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Benchmark: composite and pillar scores are compared to the anonymized peer cohort.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Recommend: gaps map to playbooks; AI Advisor drafts the roadmap; humans review and approve.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Snapshot: rubric version + evidence + scores are frozen under an assessment key for reproducibility.</w:t>
      </w:r>
    </w:p>
    <w:p>
      <w:pPr>
        <w:pStyle w:val="Heading1"/>
        <w:pageBreakBefore/>
        <w:spacing w:after="160" w:before="24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5. Assessment Pillars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EAIRN scores eight pillars. Each pillar has 8–15 weighted criteria; criteria definitions and weights live in the rubric tables, not in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460"/>
      </w:tblGrid>
      <w:tr>
        <w:trPr>
          <w:tblHeader/>
        </w:trPr>
        <w:tc>
          <w:tcPr>
            <w:tcW w:type="dxa" w:w="17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2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Core Question</w:t>
            </w:r>
          </w:p>
        </w:tc>
        <w:tc>
          <w:tcPr>
            <w:tcW w:type="dxa" w:w="446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Signals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Is the data accurate, complete, fresh, and monitored?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DQ rule coverage, freshness SLAs, incident MTTR, anomaly monitoring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Governance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Is ownership, policy, and stewardship operational?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Owner coverage, policy attachment, certification workflows, access reviews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Metadata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Can humans and machines discover and understand data?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Description coverage, business glossary linkage, lineage completeness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Is access least-privilege, classified, and auditable?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PII classification coverage, masking policies, RBAC hygiene, audit retention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AI Engineering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Can models be built, tracked, and deployed reproducibly?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Experiment tracking, feature/model registries, deployment automation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Semantic Layer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Are KPIs and business logic defined once, queryable everywhere?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Semantic model coverage, certified KPI catalog, NL-query hit rate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Agent Readiness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Can agents discover, trust, explain, and act safely?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Tool/API surface, entitlement model, action audit trail, guardrails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RAG Readiness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Is content coverage, chunking, vectors, and ACL filtering in place?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Corpus coverage, metadata richness, vector infra, permission-aware retrieval</w:t>
            </w:r>
          </w:p>
        </w:tc>
      </w:tr>
    </w:tbl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Pillar scores roll up 0–100. Composite weighting is configurable per engagement; the default weighting appears in Section 13.</w:t>
      </w:r>
    </w:p>
    <w:p>
      <w:pPr>
        <w:pStyle w:val="Heading1"/>
        <w:pageBreakBefore/>
        <w:spacing w:after="160" w:before="24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6. Snowflake Assessment Module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The Snowflake connector uses a dedicated read-only role granted IMPORTED PRIVILEGES on the SNOWFLAKE database only. All checks run against ACCOUNT_USAGE, ORGANIZATION_USAGE, and INFORMATION_SCHEMA views — never against customer tables.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Assessment Criteria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Metadata completeness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table and column COMMENT coverage; tag coverage via TAG_REFERENCES; semantic view coverage for NL analytics.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Governance posture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object ownership hygiene, masking and row access policy coverage on classified columns, Horizon classification adoption.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Lineage &amp; auditability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ACCESS_HISTORY-derived lineage density; OBJECT_DEPENDENCIES coverage; query attribution to service vs. human identities.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DQ operationalization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Data Metric Function (DMF) attachment coverage on Tier-1 tables; DMF result trends; dynamic table lag vs. target.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AI surface readiness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Cortex Analyst semantic model coverage; Cortex Search service coverage over document stores; Cortex Agents entitlement scoping.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Automated Checks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Comment coverage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ratio of commented columns to total, by schema and by data-product tier: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rFonts w:ascii="Consolas" w:cs="Consolas" w:eastAsia="Consolas" w:hAnsi="Consolas"/>
          <w:color w:val="0B3D66"/>
          <w:sz w:val="19"/>
          <w:szCs w:val="19"/>
        </w:rPr>
        <w:t xml:space="preserve">SELECT ... FROM SNOWFLAKE.ACCOUNT_USAGE.COLUMNS WHERE DELETED IS NULL GROUP BY TABLE_SCHEMA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Tag &amp; classification coverage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join TAG_REFERENCES to COLUMNS; flag Tier-1 tables with zero tags; verify PII tags propagate to all lineage descendants (mechanical propagation check).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Policy coverage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POLICY_REFERENCES vs. columns tagged PII/sensitive — any tagged column without a masking policy is a scored finding with rationale attached.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Lineage density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ACCESS_HISTORY objects_modified/base_objects_accessed graph; compute % of Tier-1 tables with resolvable upstream lineage.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Stale &amp; orphaned assets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tables with no queries in 90 days (QUERY_HISTORY join) but active storage cost; flags RAG-index candidates for exclusion.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DMF coverage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DATA_QUALITY_MONITORING_RESULTS presence and pass-rate trend per monitored table.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Access hygiene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GRANTS_TO_ROLES fan-out analysis; detect ACCOUNTADMIN over-grants and human users with direct table grants (bypassing functional roles).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Benchmarking Approach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Normalize each check to 0–100 against cohort percentiles (industry, data volume band, Snowflake edition).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Track Snowflake-specific maturity markers: Horizon adoption, semantic views in production, DMF adoption, Cortex feature usage — each benchmarked as adopted/piloting/absent vs. peers.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Recommended Remediation Actions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Quick wins (0–30 days)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bulk-generate column comments from an approved glossary (human-reviewed before apply); attach DMFs to top-20 Tier-1 tables; enable ACCESS_HISTORY retention review.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Structural (1–2 quarters)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stand up tag-driven masking (tag → policy binding so PII protection is mechanical, not per-column); migrate direct grants to functional roles; author Cortex Analyst semantic models for top KPI domains.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Strategic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formal data product tiering with certification workflow; agent entitlement model with per-tool scoped roles.</w:t>
      </w:r>
    </w:p>
    <w:p>
      <w:pPr>
        <w:pStyle w:val="Heading1"/>
        <w:pageBreakBefore/>
        <w:spacing w:after="160" w:before="24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7. Databricks Assessment Module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Connector authenticates with a service principal holding USE CATALOG / USE SCHEMA and system-table read access; checks run against Unity Catalog system tables (system.access, system.lineage, system.query) and workspace APIs.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Assessment Criteria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Unity Catalog adoption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share of workloads on UC-governed catalogs vs. legacy hive_metastore; external location governance.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Lineage &amp; audit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system.lineage coverage for Tier-1 tables; audit log delivery configured and retained.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ML operationalization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MLflow experiment/model registry usage; model stage transitions gated; Feature Store adoption for shared features.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GenAI surface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Vector Search endpoints and index governance; Mosaic AI Gateway policies (rate limits, PII filters) on model serving.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Security posture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table ACL vs. account-group hygiene; row filters / column masks on classified data; secrets management.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Automated Checks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UC migration ratio: count of tables by catalog type; hive_metastore residue on Tier-1 data is a high-severity finding.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Lineage completeness: % of Tier-1 tables with entries in system.lineage.table_lineage within the retention window.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Registry discipline: % of production model endpoints backed by a registered model version with lineage to training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Vector index governance: every Vector Search index mapped to a source table with classification tags; indexes over untagged sources are findings.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Serving guardrails: AI Gateway configuration presence on all external model endpoints (usage tracking, payload logging policy, PII detection).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Benchmarking Approach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Cohort comparison on UC adoption %, lineage coverage %, registered-model share, and gateway-governed endpoint share.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Maturity markers: Feature Store reuse ratio (features consumed by &gt;1 model), online store adoption, serverless vs. classic compute governance.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Recommended Remediation Actions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Quick wins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inventory and freeze new hive_metastore writes; enable audit log delivery; register untracked production models.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Structural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UC migration wave plan for Tier-1 schemas; tag-driven column masks; gateway policies mandatory for external LLM calls.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Strategic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feature governance program; evaluation-gated model promotion (human-in-the-loop) wired into CI.</w:t>
      </w:r>
    </w:p>
    <w:p>
      <w:pPr>
        <w:pStyle w:val="Heading1"/>
        <w:pageBreakBefore/>
        <w:spacing w:after="160" w:before="24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8. Microsoft Fabric Assessment Module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Connector uses Microsoft Graph and Fabric Admin APIs with Directory.Read-class scopes plus Purview APIs; scanning is tenant-metadata only.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Assessment Criteria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OneLake estate hygiene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workspace sprawl, domain assignment coverage, item ownership, sensitivity label coverage.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Purview integration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scan coverage of OneLake/warehouses, glossary linkage, DLP policy application to Fabric items.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Semantic model quality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certified vs. uncertified semantic models feeding reports; measure duplication across models; RLS adoption.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Real-Time Intelligence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eventstream governance, KQL DB retention and access policies.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Copilot readiness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tenant Copilot settings, semantic model "prepped for AI" markers (descriptions, synonyms, verified answers).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Automated Checks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Sensitivity label coverage: % of Fabric items carrying MIP labels, by workspace tier.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Certification ratio: certified/promoted semantic models as share of models powering &gt;N report views.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Measure duplication index: same-named DAX measures with divergent definitions across models — a direct blocker for NL query trust.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Purview scan freshness: assets whose last successful scan exceeds SLA.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Copilot preparedness: semantic models missing descriptions/synonyms on &gt;30% of fields flagged with per-model remediation lists.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Benchmarking Approach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Peer cohort on label coverage, certification ratio, and duplication index; Microsoft-stack maturity markers (domains adoption, deployment pipelines, DLP-for-Fabric).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Recommended Remediation Actions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Quick wins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enable default labeling policy; certify the top-10 semantic models by report traffic; assign domain owners.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Structural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consolidate duplicated measures into shared certified models; enforce deployment pipelines for gold workspaces.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Strategic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verified-answer library for Copilot; org-wide semantic layer strategy spanning Fabric and non-Microsoft BI.</w:t>
      </w:r>
    </w:p>
    <w:p>
      <w:pPr>
        <w:pStyle w:val="Heading1"/>
        <w:pageBreakBefore/>
        <w:spacing w:after="160" w:before="24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9. BigQuery Assessment Module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Connector uses a read-only service account with BigQuery Metadata Viewer, Data Catalog Viewer, and Dataplex Viewer roles; checks run over INFORMATION_SCHEMA, Dataplex/Data Catalog APIs, and audit logs.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Assessment Criteria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Dataplex governance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lake/zone/asset organization coverage; data profiling and DQ scan adoption; attribute-store policy tags.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Catalog completeness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entry descriptions, tag template usage, policy tag (fine-grained ACL) coverage on sensitive columns.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Lineage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Data Lineage API coverage across Tier-1 datasets, including cross-project edges.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Vertex AI integration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model registry usage, feature store adoption, grounding configurations for generative endpoints.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Vector readiness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VECTOR_SEARCH / vector index usage; embedding refresh pipelines and their freshness SLAs.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Automated Checks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Policy tag coverage: sensitive-classified columns (via Dataplex profiling or customer classification) lacking policy tags.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Description coverage from INFORMATION_SCHEMA.TABLES/COLUMN_FIELD_PATHS by dataset tier.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DQ scan adoption: Dataplex data quality scan presence and pass-rate trend on Tier-1 tables.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Stale asset detection: tables unreferenced in JOBS view for 90+ days, with storage cost attribution.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Audit posture: Data Access logs enabled per project; retention meets policy.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Benchmarking Approach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Cohort on policy-tag coverage, lineage coverage, and Dataplex DQ adoption; GCP maturity markers (BigLake adoption, cross-cloud governance, Vertex grounding usage).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Recommended Remediation Actions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Quick wins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enable Data Access audit logs everywhere; run Dataplex profiling on Tier-1 datasets; backfill descriptions from approved glossary with human review.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Structural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taxonomy + policy-tag rollout bound to IAM; lineage-complete Tier-1 certification.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Strategic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embedding pipeline SLOs; grounded-generation standards for all Vertex GenAI endpoints.</w:t>
      </w:r>
    </w:p>
    <w:p>
      <w:pPr>
        <w:pStyle w:val="Heading1"/>
        <w:pageBreakBefore/>
        <w:spacing w:after="160" w:before="24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10. Oracle Exadata Assessment Module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Connector uses a read-only account with SELECT_CATALOG_ROLE; checks run over the data dictionary (DBA_/ALL_ views), Unified Audit, and OCI APIs where the estate extends to OCI.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Assessment Criteria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Dictionary completeness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table/column comment coverage, naming-standard conformity, deprecated-object hygiene.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Security posture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Unified Auditing enabled; Data Redaction/VPD coverage on sensitive columns; Database Vault usage for privileged separation.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Lineage &amp; dependencies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DBA_DEPENDENCIES graph density; ETL-tool lineage (ODI/Informatica) linkage into the canonical model.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Data movement readiness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GoldenGate/replication posture for feeding cloud AI platforms; CDC coverage of Tier-1 tables.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OCI AI integration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Select AI / OCI GenAI adoption where present; vector capability (23ai AI Vector Search) readiness.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Automated Checks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Comment coverage from DBA_TAB_COMMENTS / DBA_COL_COMMENTS by schema tier.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Sensitive-column protection: customer classification list joined to REDACTION_COLUMNS / VPD policies; unprotected classified columns are findings.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Audit coverage: UNIFIED_AUDIT_TRAIL policy inventory vs. required policy baseline.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Dependency graph completeness for Tier-1 schemas; orphaned synonyms and invalid objects counted.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CDC readiness: supplemental logging status on Tier-1 tables feeding downstream AI platforms.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Benchmarking Approach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Cohort on dictionary coverage, audit baseline conformity, and protected-column ratio; markers for 23ai feature adoption and cloud-adjacency architecture.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Recommended Remediation Actions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Quick wins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enable supplemental logging on Tier-1; close the unprotected-classified-column list; comment backfill with steward review.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Structural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redaction-policy standardization; dependency cleanup program; CDC pipelines to the cloud analytics layer.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Strategic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23ai vector adoption evaluation; unified lineage across Oracle ETL and cloud platforms.</w:t>
      </w:r>
    </w:p>
    <w:p>
      <w:pPr>
        <w:pStyle w:val="Heading1"/>
        <w:pageBreakBefore/>
        <w:spacing w:after="160" w:before="24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11. Governance Tool Integrations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EAIRN treats the governance tool as both an evidence source and a scored subject: it harvests classifications, glossaries, and workflows as evidence, and it scores how operationally alive the governance program 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60"/>
      </w:tblGrid>
      <w:tr>
        <w:trPr>
          <w:tblHeader/>
        </w:trPr>
        <w:tc>
          <w:tcPr>
            <w:tcW w:type="dxa" w:w="15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Evidence Harvested</w:t>
            </w:r>
          </w:p>
        </w:tc>
        <w:tc>
          <w:tcPr>
            <w:tcW w:type="dxa" w:w="426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 Checks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Collibra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Assets, domains, responsibilities, workflows, policies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Workflow throughput (are certifications actually completing?); responsibility coverage on Tier-1 assets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Alation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Catalog articles, stewardship, query log intelligence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Top-queried tables lacking curation; steward response latency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Purview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Scans, classifications, glossary, DLP linkage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Scan coverage vs. estate inventory; classification-to-protection linkage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Atlan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Assets, README coverage, lineage, Slack-workflow signals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README coverage on Tier-1; lineage completeness; policy adoption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Informatica EDC/CDGC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Scans, curation, business terms, DQ linkage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Term-to-column linkage ratio; curation staleness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Unity Catalog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(when acting as the catalog of record) grants, tags, lineage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Tag taxonomy conformity; grant hygiene</w:t>
            </w:r>
          </w:p>
        </w:tc>
      </w:tr>
    </w:tbl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Cross-Tool Consistency Checks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Classification agreement: a column marked PII in the catalog but untagged in the platform (or vice versa) is a high-severity inconsistency finding — the propagation must be mechanical.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Ownership agreement: catalog-declared owners reconciled against platform object ownership and IAM reality.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Glossary liveness: % of certified terms actually linked to physical columns and semantic-layer measures.</w:t>
      </w:r>
    </w:p>
    <w:p>
      <w:pPr>
        <w:pStyle w:val="Heading1"/>
        <w:pageBreakBefore/>
        <w:spacing w:after="160" w:before="24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12. Data Quality Tool Integrations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DQ tools are harvested for rule inventories, run results, and incident histories. EAIRN scores coverage, effectiveness, and operational response — not merely tool presence.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4260"/>
      </w:tblGrid>
      <w:tr>
        <w:trPr>
          <w:tblHeader/>
        </w:trPr>
        <w:tc>
          <w:tcPr>
            <w:tcW w:type="dxa" w:w="17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 Harvested</w:t>
            </w:r>
          </w:p>
        </w:tc>
        <w:tc>
          <w:tcPr>
            <w:tcW w:type="dxa" w:w="426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 Checks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Monitors, incidents, lineage-aware alerting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Tier-1 monitor coverage; incident MTTR; alert-to-noise ratio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Great Expectations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Suites, validation results, checkpoints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Suite coverage per Tier-1 asset; failure follow-up rate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Soda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Checks-as-code, scan results, contracts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Data-contract adoption; check pass-rate trend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Informatica DQ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Rules, scorecards, profiling results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Scorecard coverage; rule execution recency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Talend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DQ jobs, trust scores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Trust-score coverage on Tier-1; remediation loop evidence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Ataccama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Rules, anomaly detection, issue workflows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Issue closure rate; anomaly model coverage</w:t>
            </w:r>
          </w:p>
        </w:tc>
      </w:tr>
    </w:tbl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DQ Scoring Signals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Coverage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% of Tier-1 datasets with at least completeness + freshness + validity checks. Rules must be stored as data (rule tables/contracts), not buried in pipeline code — hardcoded-only rule estates cap this criterion.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Effectiveness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incident detection lead time vs. downstream consumer discovery; false-positive rate.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Response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MTTR, ownership of incidents, and evidence of closed remediation loops.</w:t>
      </w:r>
    </w:p>
    <w:p>
      <w:pPr>
        <w:pStyle w:val="Heading1"/>
        <w:pageBreakBefore/>
        <w:spacing w:after="160" w:before="24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13. Scoring Framework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Scores are computed by the Scoring Engine from evidence records. Three rules are non-negotiable: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Rubric criteria, weights, and grade bands are stored in versioned configuration tables — never embedded in code — so any assessment can be re-run byte-identically against its rubric version.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Every evidence record carries {check_id, target, result, confidence, rationale}. Findings below the confidence threshold (default 0.80) are queued for human review before they influence a score.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Each assessment run writes an immutable snapshot keyed by {tenant, snapshot_id, rubric_version, harvested_at} for audit defensibility.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Default Pillar Weights (Rubric 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12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96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20%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Bad data poisons every downstream AI use case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Governance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20%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Ownership and policy are prerequisites for safe automation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Metadata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15%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Discovery and understanding gate both agents and RAG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Security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15%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Classification + least privilege are hard blockers for agents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Semantic Layer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10%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NL analytics quality is bounded by semantic coverage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AI Engineering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10%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Reproducible ML lifecycle underpins production AI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Agent Readiness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10%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Composite of the above, plus action-safety specifics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RAG Readiness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Overlay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Scored separately as an index (Section 15); not double-counted in the composite</w:t>
            </w:r>
          </w:p>
        </w:tc>
      </w:tr>
    </w:tbl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Grade Bands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5860"/>
      </w:tblGrid>
      <w:tr>
        <w:trPr>
          <w:tblHeader/>
        </w:trPr>
        <w:tc>
          <w:tcPr>
            <w:tcW w:type="dxa" w:w="18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Composite Score</w:t>
            </w:r>
          </w:p>
        </w:tc>
        <w:tc>
          <w:tcPr>
            <w:tcW w:type="dxa" w:w="17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586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90–100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AI-Native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Estate can support autonomous agents on Tier-1 data with monitoring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75–89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AI-Ready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Copilots and constrained agents viable; targeted gaps remain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60–74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AI-Capable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Pilots viable on curated slices; scale blocked by named gaps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40–59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AI-Emerging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Foundational work required before credible GenAI deployment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0–39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AI-At-Risk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AI initiatives on this estate carry material delivery and safety risk</w:t>
            </w:r>
          </w:p>
        </w:tc>
      </w:tr>
    </w:tbl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Scoring Mechanics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Criterion score = normalized check result (0–100) × criterion weight; pillar score = weighted sum of criteria; composite = weighted sum of pillars.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Hard-blocker overrides: certain findings cap scores regardless of arithmetic (e.g., classified columns with no protection caps Security at 49; no audit trail on agent actions caps Agent Readiness at 39). Overrides are themselves rubric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Tier weighting: Tier-1 (certified/critical) assets dominate the denominator so a thousand hygienic sandbox tables cannot mask ungoverned crown jewels.</w:t>
      </w:r>
    </w:p>
    <w:p>
      <w:pPr>
        <w:pStyle w:val="Heading1"/>
        <w:pageBreakBefore/>
        <w:spacing w:after="160" w:before="24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14. Agent Readiness Index (ARI)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ARI answers: can autonomous agents discover, trust, explain, and act on enterprise data safely? It is scored across five dimensions, each with mechanical checks.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446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Checks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Discover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Machine-readable metadata surface for tool selection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Semantic model / API description coverage; searchable catalog API availability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Trust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Freshness, DQ, and certification signals visible to agents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DQ status queryable at runtime; certification flags exposed in metadata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Explain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Lineage and definition traceability for agent citations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Column-level lineage resolvable; KPI definitions in a queryable catalog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Act Safely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Entitlements, guardrails, and blast-radius control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Per-agent scoped roles (no shared superuser); write actions gated by approval; entitlement reconciliation across composed tools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Audit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Attributable, replayable action trails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Agent identity distinct from human identities in logs; action → evidence → approval chain reconstructable</w:t>
            </w:r>
          </w:p>
        </w:tc>
      </w:tr>
    </w:tbl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Compositional Entitlement Checks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Multi-agent orchestration introduces a failure mode single-tool RBAC misses: an agent composing several individually-authorized tools can synthesize a disclosure no single tool permits. ARI includes checks for whether the estate can detect and control such compositional access — presence of cross-tool entitlement reconciliation, inference-control policies on sensitive combinations, and logging sufficient to reconstruct composed data flows. (This dimension aligns with the inferential-disclosure detection work in the broader product strategy and is scored conservatively pending industry standards.)</w:t>
      </w:r>
    </w:p>
    <w:p>
      <w:pPr>
        <w:pStyle w:val="Heading1"/>
        <w:pageBreakBefore/>
        <w:spacing w:after="160" w:before="24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15. RAG Readiness Index (RRI)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RRI evaluates whether the content estate can support retrieval-augmented generation that is accurate, current, and permission-safe.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Signals</w:t>
            </w:r>
          </w:p>
        </w:tc>
        <w:tc>
          <w:tcPr>
            <w:tcW w:type="dxa" w:w="426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Automated Checks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Content Coverage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Corpus completeness for target use cases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Coverage map of authoritative sources vs. indexed sources; stale/duplicate content ratio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Metadata Quality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Chunk-level filterable attributes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Documents with owner, date, classification, and audience metadata; % index-ready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Chunking Readiness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Structure amenable to chunking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Format census (structured vs. scanned/flat); heading/section density; table-heavy docs flagged for specialized handling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Vector Readiness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Embedding infra and refresh discipline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Vector store presence; embedding refresh SLA vs. content change rate; index-to-source drift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Permission-aware retrieval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ACL propagation from source to index; classified content in indexes without filter enforcement is a hard-blocker finding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Groundedness measurement in place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Presence of retrieval eval sets, citation enforcement, hallucination monitoring</w:t>
            </w:r>
          </w:p>
        </w:tc>
      </w:tr>
    </w:tbl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RRI is reported as its own 0–100 index with grade bands parallel to Section 13, because RAG programs are frequently scoped and funded independently of the analytics estate.</w:t>
      </w:r>
    </w:p>
    <w:p>
      <w:pPr>
        <w:pStyle w:val="Heading1"/>
        <w:pageBreakBefore/>
        <w:spacing w:after="160" w:before="24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16. Executive Dashboard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The Portal renders role-scoped views over the current snapshot: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Executive view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composite score and grade, trend vs. prior snapshots, peer-cohort percentile, top-5 risks, and the approved remediation roadmap with investment vs. score-impact projection.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Architect view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pillar heatmap by platform and domain; drill-through from any score to the evidence records (check, target, result, confidence, rationale) that produced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3D66"/>
          <w:sz w:val="22"/>
          <w:szCs w:val="22"/>
        </w:rPr>
        <w:t xml:space="preserve">Steward view — </w:t>
      </w:r>
      <w:r>
        <w:rPr>
          <w:rFonts w:ascii="Calibri" w:cs="Calibri" w:eastAsia="Calibri" w:hAnsi="Calibri"/>
          <w:color w:val="1F2A36"/>
          <w:sz w:val="22"/>
          <w:szCs w:val="22"/>
        </w:rPr>
        <w:t xml:space="preserve">assigned findings queue, low-confidence inference review queue, and certification workload.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Design Requirements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Every number on the dashboard is traceable to evidence IDs in the snapshot — no unexplained scores.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Benchmarks display cohort definition (industry, size band, platform mix) alongside percentiles to prevent misleading comparisons.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Ocean Gradient visual system; exportable board-pack (PPTX/PDF) generated from the same snapshot data.</w:t>
      </w:r>
    </w:p>
    <w:p>
      <w:pPr>
        <w:pStyle w:val="Heading1"/>
        <w:pageBreakBefore/>
        <w:spacing w:after="160" w:before="24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17. Claude Code Build Plan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The implementation strategy is specification-first: Claude Code is driven by agent prompts and SKILL-style instruction files, with the tool-neutral YAML rubric and canonical metadata model as the source of truth. Generated artifacts are renderings, header-stamped as auto-generated.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Stack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Frontend: Next.js (App Router), role-based views, evidence drill-through, snapshot diffing.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Backend: FastAPI; Postgres for canonical model, rubric tables, evidence, and snapshots; job runner for harvest/evaluate/score pipeline.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Connectors: plugin interface (harvest() → canonical entities; capabilities manifest; permission manifest) — one package per platform/tool from Sections 6–12.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Recommendation engine: playbook library (data, not code) mapping finding patterns → remediation plays with effort/impact estimates; LLM drafts narratives grounded in snapshot evidence with citation to evidence IDs.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Build Sequence for Claude Code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1. Canonical model + rubric schema migrations (rubric seeded from YAML; version-stamped).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2. Snowflake connector end-to-end (harvest → evidence → score) as the reference implementation.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3. Scoring Engine with override rules and snapshot writer; golden-test fixtures asserting byte-identical re-scores.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4. Portal MVP: composite view, pillar heatmap, evidence drill-through.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5. Remaining connectors by market priority; Recommendation Engine; AI Advisor.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Non-Negotiable Engineering Constraints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All connector service accounts are least-privilege with a published permission manifest; CI includes a "kill test" asserting connectors cannot write to customer platforms.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No row-data access paths exist in the default build; the optional sampling module is a separate, permission-gated package with per-dataset authorization logging.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Every LLM-generated recommendation stores its prompt, evidence citations, confidence, and reviewer decision.</w:t>
      </w:r>
    </w:p>
    <w:p>
      <w:pPr>
        <w:pStyle w:val="Heading1"/>
        <w:pageBreakBefore/>
        <w:spacing w:after="160" w:before="24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18. Product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76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P1 — MVP (Q1)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Snowflake + one governance tool; 8-pillar scoring; snapshot + evidence drill-through; PDF/PPTX export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Three design-partner assessments completed and reproducible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P2 — Benchmarking (Q2)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Anonymized cohort service; Databricks + Fabric connectors; questionnaire module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Cohort n ≥ 15; benchmark views live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P3 — Agent Readiness (Q3)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Full ARI incl. compositional entitlement checks; BigQuery + DQ-tool connectors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ARI validated against two live agent programs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P4 — Continuous Monitoring (Q4)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Scheduled re-scores, regression alerts, trend analytics; Oracle connector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Weekly scoring in production at 5 tenants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P5 — Autonomous Advisor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Advisor drafts remediation PRs/configs for human approval; what-if score simulation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Draft-fix acceptance rate ≥ 60% with zero unapproved applies</w:t>
            </w:r>
          </w:p>
        </w:tc>
      </w:tr>
    </w:tbl>
    <w:p>
      <w:pPr>
        <w:pStyle w:val="Heading1"/>
        <w:pageBreakBefore/>
        <w:spacing w:after="160" w:before="24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19. Commercialization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2160"/>
        <w:gridCol w:w="1500"/>
      </w:tblGrid>
      <w:tr>
        <w:trPr>
          <w:tblHeader/>
        </w:trPr>
        <w:tc>
          <w:tcPr>
            <w:tcW w:type="dxa" w:w="21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Offering</w:t>
            </w:r>
          </w:p>
        </w:tc>
        <w:tc>
          <w:tcPr>
            <w:tcW w:type="dxa" w:w="36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Motion</w:t>
            </w:r>
          </w:p>
        </w:tc>
        <w:tc>
          <w:tcPr>
            <w:tcW w:type="dxa" w:w="216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Pricing Shape</w:t>
            </w:r>
          </w:p>
        </w:tc>
        <w:tc>
          <w:tcPr>
            <w:tcW w:type="dxa" w:w="1500"/>
            <w:shd w:fill="0B3D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Assessment Service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One-time, consultant-delivered with EAIRN tooling; board-ready readout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Fixed fee by estate size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CDO / CDAO, transformation lead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Managed Service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Quarterly re-assessment + remediation advisory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Annual subscription + advisory retainer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Data platform leadership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SaaS Subscription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Continuous monitoring, benchmarks, advisor; customer-run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Platform fee + per-connector tier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6"/>
                <w:sz w:val="20"/>
                <w:szCs w:val="20"/>
              </w:rPr>
              <w:t xml:space="preserve">Enterprise architecture / platform teams</w:t>
            </w:r>
          </w:p>
        </w:tc>
      </w:tr>
    </w:tbl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Go-to-Market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Big4/SI channel: the Assessment Service is packaged for partner delivery — rubric-as-data lets partners white-label weighting profiles without forking the engine.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Benchmark network effects: every consenting assessment enriches the anonymized cohort, deepening the moat; cohort data governance is contractual and metadata-only by construction.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Land-and-expand: single-platform assessment → estate-wide → continuous monitoring → advisor.</w:t>
      </w:r>
    </w:p>
    <w:p>
      <w:pPr>
        <w:pStyle w:val="Heading1"/>
        <w:pageBreakBefore/>
        <w:spacing w:after="160" w:before="240"/>
      </w:pPr>
      <w:r>
        <w:rPr>
          <w:rFonts w:ascii="Calibri" w:cs="Calibri" w:eastAsia="Calibri" w:hAnsi="Calibri"/>
          <w:b/>
          <w:bCs/>
          <w:color w:val="0B3D66"/>
          <w:sz w:val="32"/>
          <w:szCs w:val="32"/>
        </w:rPr>
        <w:t xml:space="preserve">20. Sample Assessment Questionnaire (Supplementary Evidence)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6"/>
          <w:sz w:val="22"/>
          <w:szCs w:val="22"/>
        </w:rPr>
        <w:t xml:space="preserve">The questionnaire captures organizational context that metadata cannot see. Answers are cross-validated against machine evidence; contradictions (e.g., "we have full lineage" vs. 22% measured coverage) are themselves scored findings.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Governance &amp; Metadata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Do you operate an enterprise data catalog? Which tool, and what % of Tier-1 assets are curated in it?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What percentage of critical datasets have a named, accountable owner (verified within the last 12 months)?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What percentage of data assets are classified for sensitivity, and is classification enforced by policy (masking/ACL) mechanically?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What is your column-level lineage coverage for Tier-1 datasets, and is it machine-queryable?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Quality &amp; Semantics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Are DQ rules stored as data (rule tables/contracts) or embedded in pipeline code?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What is your mean time to detect and resolve a Tier-1 data incident?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Are semantic models defined for your certified KPIs, and how many KPI definitions exist per KPI (target: exactly one)?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Can business users query data using natural language today? What is the answer-acceptance rate?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AI, Agents &amp; RAG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Do you support vector search in production? What is the embedding refresh SLA relative to content change rate?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Do AI agents operate under identities distinct from humans, with per-agent scoped entitlements?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Can you reconstruct, from logs, every data element an agent accessed to produce a given output?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Is there a human approval gate before AI-generated artifacts (models, pipelines, rules) are promoted to production?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F2A36"/>
          <w:sz w:val="22"/>
          <w:szCs w:val="22"/>
        </w:rPr>
        <w:t xml:space="preserve">For RAG: do document ACLs propagate to your vector indexes, and is filtering enforced at retrieval time?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2026-08-17T18:39:54.193Z</dcterms:created>
  <dcterms:modified xsi:type="dcterms:W3CDTF">2026-08-17T18:39:54.193Z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