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0B2C4D"/>
          <w:sz w:val="62"/>
          <w:szCs w:val="62"/>
        </w:rPr>
        <w:t xml:space="preserve">THE MARKETPLACE</w:t>
      </w:r>
    </w:p>
    <w:p>
      <w:pPr>
        <w:pBdr>
          <w:bottom w:val="single" w:color="B98A1B" w:sz="22" w:space="10"/>
        </w:pBdr>
        <w:spacing w:after="260"/>
      </w:pPr>
      <w:r>
        <w:rPr>
          <w:rFonts w:ascii="Calibri" w:cs="Calibri" w:eastAsia="Calibri" w:hAnsi="Calibri"/>
          <w:color w:val="117A8B"/>
          <w:sz w:val="30"/>
          <w:szCs w:val="30"/>
        </w:rPr>
        <w:t xml:space="preserve">Enterprise Data Products &amp; AI Agents on One Governed Shelf</w:t>
      </w:r>
    </w:p>
    <w:p>
      <w:pPr>
        <w:spacing w:after="100"/>
      </w:pPr>
      <w:r>
        <w:rPr>
          <w:rFonts w:ascii="Calibri" w:cs="Calibri" w:eastAsia="Calibri" w:hAnsi="Calibri"/>
          <w:b/>
          <w:bCs/>
          <w:color w:val="0B2C4D"/>
          <w:sz w:val="26"/>
          <w:szCs w:val="26"/>
        </w:rPr>
        <w:t xml:space="preserve">Product Blueprint &amp; Build Specification</w:t>
      </w:r>
    </w:p>
    <w:p>
      <w:pPr>
        <w:spacing w:after="500"/>
      </w:pPr>
      <w:r>
        <w:rPr>
          <w:rFonts w:ascii="Calibri" w:cs="Calibri" w:eastAsia="Calibri" w:hAnsi="Calibri"/>
          <w:i/>
          <w:iCs/>
          <w:color w:val="4A5C68"/>
          <w:sz w:val="21"/>
          <w:szCs w:val="21"/>
        </w:rPr>
        <w:t xml:space="preserve">Version 2.0 · September 2026 · Vendor-Neutral · Governed by Construction · Demo-Ready</w:t>
      </w:r>
    </w:p>
    <w:tbl>
      <w:tblPr>
        <w:tblW w:type="dxa" w:w="10080"/>
        <w:tblBorders>
          <w:top w:val="none" w:color="FFFFFF" w:sz="0"/>
          <w:left w:val="single" w:color="B98A1B" w:sz="18"/>
          <w:bottom w:val="none" w:color="FFFFFF" w:sz="0"/>
          <w:right w:val="none" w:color="FFFFFF" w:sz="0"/>
          <w:insideH w:val="none" w:color="FFFFFF" w:sz="0"/>
          <w:insideV w:val="none" w:color="FFFFFF" w:sz="0"/>
        </w:tblBorders>
      </w:tblPr>
      <w:tblGrid>
        <w:gridCol w:w="10080"/>
      </w:tblGrid>
      <w:tr>
        <w:tc>
          <w:tcPr>
            <w:tcW w:type="dxa" w:w="10080"/>
            <w:shd w:fill="E8F1F4" w:color="auto" w:val="clear"/>
            <w:tcMar>
              <w:top w:type="dxa" w:w="130"/>
              <w:left w:type="dxa" w:w="180"/>
              <w:bottom w:type="dxa" w:w="130"/>
              <w:right w:type="dxa" w:w="160"/>
            </w:tcMar>
          </w:tcPr>
          <w:p>
            <w:pPr>
              <w:spacing w:after="40" w:before="40" w:line="250"/>
              <w:jc w:val="left"/>
            </w:pPr>
            <w:r>
              <w:rPr>
                <w:rFonts w:ascii="Calibri" w:cs="Calibri" w:eastAsia="Calibri" w:hAnsi="Calibri"/>
                <w:b/>
                <w:bCs/>
                <w:color w:val="0B2C4D"/>
                <w:sz w:val="19"/>
                <w:szCs w:val="19"/>
              </w:rPr>
              <w:t xml:space="preserve">What this document is</w:t>
            </w:r>
          </w:p>
          <w:p>
            <w:pPr>
              <w:spacing w:after="40" w:before="40" w:line="250"/>
              <w:jc w:val="left"/>
            </w:pPr>
            <w:r>
              <w:rPr>
                <w:rFonts w:ascii="Calibri" w:cs="Calibri" w:eastAsia="Calibri" w:hAnsi="Calibri"/>
                <w:b w:val="false"/>
                <w:bCs w:val="false"/>
                <w:color w:val="1F2A33"/>
                <w:sz w:val="18"/>
                <w:szCs w:val="18"/>
              </w:rPr>
              <w:t xml:space="preserve">A complete, build-ready specification for a multi-industry marketplace in which data products and the AI agents that run on them are catalogued, governed, requested, observed, and demonstrated as a single supply chain.</w:t>
            </w:r>
          </w:p>
          <w:p>
            <w:pPr>
              <w:spacing w:after="40" w:before="40" w:line="250"/>
              <w:jc w:val="left"/>
            </w:pPr>
            <w:r>
              <w:rPr>
                <w:rFonts w:ascii="Calibri" w:cs="Calibri" w:eastAsia="Calibri" w:hAnsi="Calibri"/>
                <w:b w:val="false"/>
                <w:bCs w:val="false"/>
                <w:color w:val="1F2A33"/>
                <w:sz w:val="18"/>
                <w:szCs w:val="18"/>
              </w:rPr>
              <w:t xml:space="preserve">It is written to be handed directly to a coding agent (Claude Code / Cortex Code) or an engineering team. Every rubric, score, contract, and mesh edge in this specification is stored as data, never hardcoded.</w:t>
            </w:r>
          </w:p>
          <w:p>
            <w:pPr>
              <w:spacing w:after="40" w:before="40" w:line="250"/>
              <w:jc w:val="left"/>
            </w:pPr>
            <w:r>
              <w:rPr>
                <w:rFonts w:ascii="Calibri" w:cs="Calibri" w:eastAsia="Calibri" w:hAnsi="Calibri"/>
                <w:b w:val="false"/>
                <w:bCs w:val="false"/>
                <w:color w:val="1F2A33"/>
                <w:sz w:val="18"/>
                <w:szCs w:val="18"/>
              </w:rPr>
              <w:t xml:space="preserve">Seed content covers 15 domain data products and 14 AI agents across Telecom, Technology, Banking, Insurance, Healthcare, Retail, Transportation, Utilities &amp; Energy, and Manufacturing — sufficient for a live client demonstration on day one.</w:t>
            </w:r>
          </w:p>
        </w:tc>
      </w:tr>
    </w:tbl>
    <w:p>
      <w:pPr>
        <w:spacing w:after="360"/>
      </w:pPr>
      <w:r>
        <w:t xml:space="preserve"/>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621"/>
        <w:gridCol w:w="7459"/>
      </w:tblGrid>
      <w:tr>
        <w:trPr>
          <w:tblHeader/>
        </w:trPr>
        <w:tc>
          <w:tcPr>
            <w:tcW w:type="dxa" w:w="262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Attribute</w:t>
            </w:r>
          </w:p>
        </w:tc>
        <w:tc>
          <w:tcPr>
            <w:tcW w:type="dxa" w:w="745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Value</w:t>
            </w:r>
          </w:p>
        </w:tc>
      </w:tr>
      <w:tr>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Product name</w:t>
            </w:r>
          </w:p>
        </w:tc>
        <w:tc>
          <w:tcPr>
            <w:tcW w:type="dxa" w:w="745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Deliberately unbranded. The display name, wordmark and palette are theme configuration (PRODUCT_NAME token); no code path contains a brand string.</w:t>
            </w:r>
          </w:p>
        </w:tc>
      </w:tr>
      <w:tr>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Document type</w:t>
            </w:r>
          </w:p>
        </w:tc>
        <w:tc>
          <w:tcPr>
            <w:tcW w:type="dxa" w:w="745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Product blueprint + implementation specification</w:t>
            </w:r>
          </w:p>
        </w:tc>
      </w:tr>
      <w:tr>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Companion asset</w:t>
            </w:r>
          </w:p>
        </w:tc>
        <w:tc>
          <w:tcPr>
            <w:tcW w:type="dxa" w:w="745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EAIRN — Enterprise AI Readiness Navigator (assessment upstream of marketplace onboarding)</w:t>
            </w:r>
          </w:p>
        </w:tc>
      </w:tr>
      <w:tr>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Primary platform target</w:t>
            </w:r>
          </w:p>
        </w:tc>
        <w:tc>
          <w:tcPr>
            <w:tcW w:type="dxa" w:w="745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Snowflake-native (Cortex Analyst, Cortex Search, Cortex Agents, Snowflake Intelligence); portable to Databricks, Fabric, BigQuery</w:t>
            </w:r>
          </w:p>
        </w:tc>
      </w:tr>
      <w:tr>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Consumption surfaces</w:t>
            </w:r>
          </w:p>
        </w:tc>
        <w:tc>
          <w:tcPr>
            <w:tcW w:type="dxa" w:w="745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Web portal, REST API, MCP server endpoint, SQL / semantic view, notebook SDK</w:t>
            </w:r>
          </w:p>
        </w:tc>
      </w:tr>
      <w:tr>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Non-negotiables</w:t>
            </w:r>
          </w:p>
        </w:tc>
        <w:tc>
          <w:tcPr>
            <w:tcW w:type="dxa" w:w="745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Rubrics as data · metadata-only by default · every inference carries confidence + rationale · human approval before promotion · immutable audit snapshots</w:t>
            </w:r>
          </w:p>
        </w:tc>
      </w:tr>
    </w:tbl>
    <w:p>
      <w:pPr>
        <w:pageBreakBefore/>
        <w:pBdr>
          <w:bottom w:val="single" w:color="B98A1B" w:sz="12" w:space="6"/>
        </w:pBdr>
        <w:spacing w:after="200"/>
      </w:pPr>
      <w:r>
        <w:rPr>
          <w:rFonts w:ascii="Calibri" w:cs="Calibri" w:eastAsia="Calibri" w:hAnsi="Calibri"/>
          <w:b/>
          <w:bCs/>
          <w:color w:val="0B2C4D"/>
          <w:sz w:val="32"/>
          <w:szCs w:val="32"/>
        </w:rPr>
        <w:t xml:space="preserve">Contents</w:t>
      </w:r>
    </w:p>
    <w:p>
      <w:pPr>
        <w:spacing w:after="80" w:before="200"/>
      </w:pPr>
      <w:r>
        <w:rPr>
          <w:rFonts w:ascii="Calibri" w:cs="Calibri" w:eastAsia="Calibri" w:hAnsi="Calibri"/>
          <w:b/>
          <w:bCs/>
          <w:color w:val="117A8B"/>
          <w:sz w:val="22"/>
          <w:szCs w:val="22"/>
        </w:rPr>
        <w:t xml:space="preserve">Part I — Product Definition</w:t>
      </w:r>
    </w:p>
    <w:p>
      <w:pPr>
        <w:spacing w:after="60"/>
        <w:ind w:left="240"/>
      </w:pPr>
      <w:r>
        <w:rPr>
          <w:rFonts w:ascii="Calibri" w:cs="Calibri" w:eastAsia="Calibri" w:hAnsi="Calibri"/>
          <w:b/>
          <w:bCs/>
          <w:color w:val="B98A1B"/>
          <w:sz w:val="21"/>
          <w:szCs w:val="21"/>
        </w:rPr>
        <w:t xml:space="preserve">1.  </w:t>
      </w:r>
      <w:r>
        <w:rPr>
          <w:rFonts w:ascii="Calibri" w:cs="Calibri" w:eastAsia="Calibri" w:hAnsi="Calibri"/>
          <w:color w:val="1F2A33"/>
          <w:sz w:val="21"/>
          <w:szCs w:val="21"/>
        </w:rPr>
        <w:t xml:space="preserve">Executive Summary</w:t>
      </w:r>
    </w:p>
    <w:p>
      <w:pPr>
        <w:spacing w:after="60"/>
        <w:ind w:left="240"/>
      </w:pPr>
      <w:r>
        <w:rPr>
          <w:rFonts w:ascii="Calibri" w:cs="Calibri" w:eastAsia="Calibri" w:hAnsi="Calibri"/>
          <w:b/>
          <w:bCs/>
          <w:color w:val="B98A1B"/>
          <w:sz w:val="21"/>
          <w:szCs w:val="21"/>
        </w:rPr>
        <w:t xml:space="preserve">2.  </w:t>
      </w:r>
      <w:r>
        <w:rPr>
          <w:rFonts w:ascii="Calibri" w:cs="Calibri" w:eastAsia="Calibri" w:hAnsi="Calibri"/>
          <w:color w:val="1F2A33"/>
          <w:sz w:val="21"/>
          <w:szCs w:val="21"/>
        </w:rPr>
        <w:t xml:space="preserve">Business Problem</w:t>
      </w:r>
    </w:p>
    <w:p>
      <w:pPr>
        <w:spacing w:after="60"/>
        <w:ind w:left="240"/>
      </w:pPr>
      <w:r>
        <w:rPr>
          <w:rFonts w:ascii="Calibri" w:cs="Calibri" w:eastAsia="Calibri" w:hAnsi="Calibri"/>
          <w:b/>
          <w:bCs/>
          <w:color w:val="B98A1B"/>
          <w:sz w:val="21"/>
          <w:szCs w:val="21"/>
        </w:rPr>
        <w:t xml:space="preserve">3.  </w:t>
      </w:r>
      <w:r>
        <w:rPr>
          <w:rFonts w:ascii="Calibri" w:cs="Calibri" w:eastAsia="Calibri" w:hAnsi="Calibri"/>
          <w:color w:val="1F2A33"/>
          <w:sz w:val="21"/>
          <w:szCs w:val="21"/>
        </w:rPr>
        <w:t xml:space="preserve">Product Vision &amp; Design Principles</w:t>
      </w:r>
    </w:p>
    <w:p>
      <w:pPr>
        <w:spacing w:after="60"/>
        <w:ind w:left="240"/>
      </w:pPr>
      <w:r>
        <w:rPr>
          <w:rFonts w:ascii="Calibri" w:cs="Calibri" w:eastAsia="Calibri" w:hAnsi="Calibri"/>
          <w:b/>
          <w:bCs/>
          <w:color w:val="B98A1B"/>
          <w:sz w:val="21"/>
          <w:szCs w:val="21"/>
        </w:rPr>
        <w:t xml:space="preserve">4.  </w:t>
      </w:r>
      <w:r>
        <w:rPr>
          <w:rFonts w:ascii="Calibri" w:cs="Calibri" w:eastAsia="Calibri" w:hAnsi="Calibri"/>
          <w:color w:val="1F2A33"/>
          <w:sz w:val="21"/>
          <w:szCs w:val="21"/>
        </w:rPr>
        <w:t xml:space="preserve">Personas, Journeys &amp; Access Model</w:t>
      </w:r>
    </w:p>
    <w:p>
      <w:pPr>
        <w:spacing w:after="60"/>
        <w:ind w:left="240"/>
      </w:pPr>
      <w:r>
        <w:rPr>
          <w:rFonts w:ascii="Calibri" w:cs="Calibri" w:eastAsia="Calibri" w:hAnsi="Calibri"/>
          <w:b/>
          <w:bCs/>
          <w:color w:val="B98A1B"/>
          <w:sz w:val="21"/>
          <w:szCs w:val="21"/>
        </w:rPr>
        <w:t xml:space="preserve">5.  </w:t>
      </w:r>
      <w:r>
        <w:rPr>
          <w:rFonts w:ascii="Calibri" w:cs="Calibri" w:eastAsia="Calibri" w:hAnsi="Calibri"/>
          <w:color w:val="1F2A33"/>
          <w:sz w:val="21"/>
          <w:szCs w:val="21"/>
        </w:rPr>
        <w:t xml:space="preserve">Information Architecture &amp; Navigation</w:t>
      </w:r>
    </w:p>
    <w:p>
      <w:pPr>
        <w:spacing w:after="60"/>
        <w:ind w:left="240"/>
      </w:pPr>
      <w:r>
        <w:rPr>
          <w:rFonts w:ascii="Calibri" w:cs="Calibri" w:eastAsia="Calibri" w:hAnsi="Calibri"/>
          <w:b/>
          <w:bCs/>
          <w:color w:val="B98A1B"/>
          <w:sz w:val="21"/>
          <w:szCs w:val="21"/>
        </w:rPr>
        <w:t xml:space="preserve">6.  </w:t>
      </w:r>
      <w:r>
        <w:rPr>
          <w:rFonts w:ascii="Calibri" w:cs="Calibri" w:eastAsia="Calibri" w:hAnsi="Calibri"/>
          <w:color w:val="1F2A33"/>
          <w:sz w:val="21"/>
          <w:szCs w:val="21"/>
        </w:rPr>
        <w:t xml:space="preserve">Landing Experience — Front Page Design Specification</w:t>
      </w:r>
    </w:p>
    <w:p>
      <w:pPr>
        <w:spacing w:after="80" w:before="200"/>
      </w:pPr>
      <w:r>
        <w:rPr>
          <w:rFonts w:ascii="Calibri" w:cs="Calibri" w:eastAsia="Calibri" w:hAnsi="Calibri"/>
          <w:b/>
          <w:bCs/>
          <w:color w:val="117A8B"/>
          <w:sz w:val="22"/>
          <w:szCs w:val="22"/>
        </w:rPr>
        <w:t xml:space="preserve">Part II — Catalog &amp; Detail Surfaces</w:t>
      </w:r>
    </w:p>
    <w:p>
      <w:pPr>
        <w:spacing w:after="60"/>
        <w:ind w:left="240"/>
      </w:pPr>
      <w:r>
        <w:rPr>
          <w:rFonts w:ascii="Calibri" w:cs="Calibri" w:eastAsia="Calibri" w:hAnsi="Calibri"/>
          <w:b/>
          <w:bCs/>
          <w:color w:val="B98A1B"/>
          <w:sz w:val="21"/>
          <w:szCs w:val="21"/>
        </w:rPr>
        <w:t xml:space="preserve">7.  </w:t>
      </w:r>
      <w:r>
        <w:rPr>
          <w:rFonts w:ascii="Calibri" w:cs="Calibri" w:eastAsia="Calibri" w:hAnsi="Calibri"/>
          <w:color w:val="1F2A33"/>
          <w:sz w:val="21"/>
          <w:szCs w:val="21"/>
        </w:rPr>
        <w:t xml:space="preserve">Data Product Catalog — Browse &amp; Discovery</w:t>
      </w:r>
    </w:p>
    <w:p>
      <w:pPr>
        <w:spacing w:after="60"/>
        <w:ind w:left="240"/>
      </w:pPr>
      <w:r>
        <w:rPr>
          <w:rFonts w:ascii="Calibri" w:cs="Calibri" w:eastAsia="Calibri" w:hAnsi="Calibri"/>
          <w:b/>
          <w:bCs/>
          <w:color w:val="B98A1B"/>
          <w:sz w:val="21"/>
          <w:szCs w:val="21"/>
        </w:rPr>
        <w:t xml:space="preserve">8.  </w:t>
      </w:r>
      <w:r>
        <w:rPr>
          <w:rFonts w:ascii="Calibri" w:cs="Calibri" w:eastAsia="Calibri" w:hAnsi="Calibri"/>
          <w:color w:val="1F2A33"/>
          <w:sz w:val="21"/>
          <w:szCs w:val="21"/>
        </w:rPr>
        <w:t xml:space="preserve">Data Product Detail Specification</w:t>
      </w:r>
    </w:p>
    <w:p>
      <w:pPr>
        <w:spacing w:after="60"/>
        <w:ind w:left="240"/>
      </w:pPr>
      <w:r>
        <w:rPr>
          <w:rFonts w:ascii="Calibri" w:cs="Calibri" w:eastAsia="Calibri" w:hAnsi="Calibri"/>
          <w:b/>
          <w:bCs/>
          <w:color w:val="B98A1B"/>
          <w:sz w:val="21"/>
          <w:szCs w:val="21"/>
        </w:rPr>
        <w:t xml:space="preserve">9.  </w:t>
      </w:r>
      <w:r>
        <w:rPr>
          <w:rFonts w:ascii="Calibri" w:cs="Calibri" w:eastAsia="Calibri" w:hAnsi="Calibri"/>
          <w:color w:val="1F2A33"/>
          <w:sz w:val="21"/>
          <w:szCs w:val="21"/>
        </w:rPr>
        <w:t xml:space="preserve">Data Contracts &amp; Consumption Endpoints (REST, MCP, SQL)</w:t>
      </w:r>
    </w:p>
    <w:p>
      <w:pPr>
        <w:spacing w:after="60"/>
        <w:ind w:left="240"/>
      </w:pPr>
      <w:r>
        <w:rPr>
          <w:rFonts w:ascii="Calibri" w:cs="Calibri" w:eastAsia="Calibri" w:hAnsi="Calibri"/>
          <w:b/>
          <w:bCs/>
          <w:color w:val="B98A1B"/>
          <w:sz w:val="21"/>
          <w:szCs w:val="21"/>
        </w:rPr>
        <w:t xml:space="preserve">10.  </w:t>
      </w:r>
      <w:r>
        <w:rPr>
          <w:rFonts w:ascii="Calibri" w:cs="Calibri" w:eastAsia="Calibri" w:hAnsi="Calibri"/>
          <w:color w:val="1F2A33"/>
          <w:sz w:val="21"/>
          <w:szCs w:val="21"/>
        </w:rPr>
        <w:t xml:space="preserve">AI Agent Catalog — Browse &amp; Discovery</w:t>
      </w:r>
    </w:p>
    <w:p>
      <w:pPr>
        <w:spacing w:after="60"/>
        <w:ind w:left="240"/>
      </w:pPr>
      <w:r>
        <w:rPr>
          <w:rFonts w:ascii="Calibri" w:cs="Calibri" w:eastAsia="Calibri" w:hAnsi="Calibri"/>
          <w:b/>
          <w:bCs/>
          <w:color w:val="B98A1B"/>
          <w:sz w:val="21"/>
          <w:szCs w:val="21"/>
        </w:rPr>
        <w:t xml:space="preserve">11.  </w:t>
      </w:r>
      <w:r>
        <w:rPr>
          <w:rFonts w:ascii="Calibri" w:cs="Calibri" w:eastAsia="Calibri" w:hAnsi="Calibri"/>
          <w:color w:val="1F2A33"/>
          <w:sz w:val="21"/>
          <w:szCs w:val="21"/>
        </w:rPr>
        <w:t xml:space="preserve">Agent Detail Specification &amp; KPI Coverage Map</w:t>
      </w:r>
    </w:p>
    <w:p>
      <w:pPr>
        <w:spacing w:after="60"/>
        <w:ind w:left="240"/>
      </w:pPr>
      <w:r>
        <w:rPr>
          <w:rFonts w:ascii="Calibri" w:cs="Calibri" w:eastAsia="Calibri" w:hAnsi="Calibri"/>
          <w:b/>
          <w:bCs/>
          <w:color w:val="B98A1B"/>
          <w:sz w:val="21"/>
          <w:szCs w:val="21"/>
        </w:rPr>
        <w:t xml:space="preserve">12.  </w:t>
      </w:r>
      <w:r>
        <w:rPr>
          <w:rFonts w:ascii="Calibri" w:cs="Calibri" w:eastAsia="Calibri" w:hAnsi="Calibri"/>
          <w:color w:val="1F2A33"/>
          <w:sz w:val="21"/>
          <w:szCs w:val="21"/>
        </w:rPr>
        <w:t xml:space="preserve">Live Demo Console — Guided Question &amp; Answer</w:t>
      </w:r>
    </w:p>
    <w:p>
      <w:pPr>
        <w:spacing w:after="80" w:before="200"/>
      </w:pPr>
      <w:r>
        <w:rPr>
          <w:rFonts w:ascii="Calibri" w:cs="Calibri" w:eastAsia="Calibri" w:hAnsi="Calibri"/>
          <w:b/>
          <w:bCs/>
          <w:color w:val="117A8B"/>
          <w:sz w:val="22"/>
          <w:szCs w:val="22"/>
        </w:rPr>
        <w:t xml:space="preserve">Part III — Workflow &amp; Demand</w:t>
      </w:r>
    </w:p>
    <w:p>
      <w:pPr>
        <w:spacing w:after="60"/>
        <w:ind w:left="240"/>
      </w:pPr>
      <w:r>
        <w:rPr>
          <w:rFonts w:ascii="Calibri" w:cs="Calibri" w:eastAsia="Calibri" w:hAnsi="Calibri"/>
          <w:b/>
          <w:bCs/>
          <w:color w:val="B98A1B"/>
          <w:sz w:val="21"/>
          <w:szCs w:val="21"/>
        </w:rPr>
        <w:t xml:space="preserve">13.  </w:t>
      </w:r>
      <w:r>
        <w:rPr>
          <w:rFonts w:ascii="Calibri" w:cs="Calibri" w:eastAsia="Calibri" w:hAnsi="Calibri"/>
          <w:color w:val="1F2A33"/>
          <w:sz w:val="21"/>
          <w:szCs w:val="21"/>
        </w:rPr>
        <w:t xml:space="preserve">Access Request &amp; Entitlement Workflow</w:t>
      </w:r>
    </w:p>
    <w:p>
      <w:pPr>
        <w:spacing w:after="60"/>
        <w:ind w:left="240"/>
      </w:pPr>
      <w:r>
        <w:rPr>
          <w:rFonts w:ascii="Calibri" w:cs="Calibri" w:eastAsia="Calibri" w:hAnsi="Calibri"/>
          <w:b/>
          <w:bCs/>
          <w:color w:val="B98A1B"/>
          <w:sz w:val="21"/>
          <w:szCs w:val="21"/>
        </w:rPr>
        <w:t xml:space="preserve">14.  </w:t>
      </w:r>
      <w:r>
        <w:rPr>
          <w:rFonts w:ascii="Calibri" w:cs="Calibri" w:eastAsia="Calibri" w:hAnsi="Calibri"/>
          <w:color w:val="1F2A33"/>
          <w:sz w:val="21"/>
          <w:szCs w:val="21"/>
        </w:rPr>
        <w:t xml:space="preserve">Enhancement Request Workflow</w:t>
      </w:r>
    </w:p>
    <w:p>
      <w:pPr>
        <w:spacing w:after="60"/>
        <w:ind w:left="240"/>
      </w:pPr>
      <w:r>
        <w:rPr>
          <w:rFonts w:ascii="Calibri" w:cs="Calibri" w:eastAsia="Calibri" w:hAnsi="Calibri"/>
          <w:b/>
          <w:bCs/>
          <w:color w:val="B98A1B"/>
          <w:sz w:val="21"/>
          <w:szCs w:val="21"/>
        </w:rPr>
        <w:t xml:space="preserve">15.  </w:t>
      </w:r>
      <w:r>
        <w:rPr>
          <w:rFonts w:ascii="Calibri" w:cs="Calibri" w:eastAsia="Calibri" w:hAnsi="Calibri"/>
          <w:color w:val="1F2A33"/>
          <w:sz w:val="21"/>
          <w:szCs w:val="21"/>
        </w:rPr>
        <w:t xml:space="preserve">Demand Intake — New Data Product &amp; Agent Requests</w:t>
      </w:r>
    </w:p>
    <w:p>
      <w:pPr>
        <w:spacing w:after="80" w:before="200"/>
      </w:pPr>
      <w:r>
        <w:rPr>
          <w:rFonts w:ascii="Calibri" w:cs="Calibri" w:eastAsia="Calibri" w:hAnsi="Calibri"/>
          <w:b/>
          <w:bCs/>
          <w:color w:val="117A8B"/>
          <w:sz w:val="22"/>
          <w:szCs w:val="22"/>
        </w:rPr>
        <w:t xml:space="preserve">Part IV — Mesh, Value &amp; Operations</w:t>
      </w:r>
    </w:p>
    <w:p>
      <w:pPr>
        <w:spacing w:after="60"/>
        <w:ind w:left="240"/>
      </w:pPr>
      <w:r>
        <w:rPr>
          <w:rFonts w:ascii="Calibri" w:cs="Calibri" w:eastAsia="Calibri" w:hAnsi="Calibri"/>
          <w:b/>
          <w:bCs/>
          <w:color w:val="B98A1B"/>
          <w:sz w:val="21"/>
          <w:szCs w:val="21"/>
        </w:rPr>
        <w:t xml:space="preserve">16.  </w:t>
      </w:r>
      <w:r>
        <w:rPr>
          <w:rFonts w:ascii="Calibri" w:cs="Calibri" w:eastAsia="Calibri" w:hAnsi="Calibri"/>
          <w:color w:val="1F2A33"/>
          <w:sz w:val="21"/>
          <w:szCs w:val="21"/>
        </w:rPr>
        <w:t xml:space="preserve">Data Product Mesh</w:t>
      </w:r>
    </w:p>
    <w:p>
      <w:pPr>
        <w:spacing w:after="60"/>
        <w:ind w:left="240"/>
      </w:pPr>
      <w:r>
        <w:rPr>
          <w:rFonts w:ascii="Calibri" w:cs="Calibri" w:eastAsia="Calibri" w:hAnsi="Calibri"/>
          <w:b/>
          <w:bCs/>
          <w:color w:val="B98A1B"/>
          <w:sz w:val="21"/>
          <w:szCs w:val="21"/>
        </w:rPr>
        <w:t xml:space="preserve">17.  </w:t>
      </w:r>
      <w:r>
        <w:rPr>
          <w:rFonts w:ascii="Calibri" w:cs="Calibri" w:eastAsia="Calibri" w:hAnsi="Calibri"/>
          <w:color w:val="1F2A33"/>
          <w:sz w:val="21"/>
          <w:szCs w:val="21"/>
        </w:rPr>
        <w:t xml:space="preserve">AI Agent Mesh</w:t>
      </w:r>
    </w:p>
    <w:p>
      <w:pPr>
        <w:spacing w:after="60"/>
        <w:ind w:left="240"/>
      </w:pPr>
      <w:r>
        <w:rPr>
          <w:rFonts w:ascii="Calibri" w:cs="Calibri" w:eastAsia="Calibri" w:hAnsi="Calibri"/>
          <w:b/>
          <w:bCs/>
          <w:color w:val="B98A1B"/>
          <w:sz w:val="21"/>
          <w:szCs w:val="21"/>
        </w:rPr>
        <w:t xml:space="preserve">18.  </w:t>
      </w:r>
      <w:r>
        <w:rPr>
          <w:rFonts w:ascii="Calibri" w:cs="Calibri" w:eastAsia="Calibri" w:hAnsi="Calibri"/>
          <w:color w:val="1F2A33"/>
          <w:sz w:val="21"/>
          <w:szCs w:val="21"/>
        </w:rPr>
        <w:t xml:space="preserve">Usage, Adoption &amp; Value Realization</w:t>
      </w:r>
    </w:p>
    <w:p>
      <w:pPr>
        <w:spacing w:after="60"/>
        <w:ind w:left="240"/>
      </w:pPr>
      <w:r>
        <w:rPr>
          <w:rFonts w:ascii="Calibri" w:cs="Calibri" w:eastAsia="Calibri" w:hAnsi="Calibri"/>
          <w:b/>
          <w:bCs/>
          <w:color w:val="B98A1B"/>
          <w:sz w:val="21"/>
          <w:szCs w:val="21"/>
        </w:rPr>
        <w:t xml:space="preserve">19.  </w:t>
      </w:r>
      <w:r>
        <w:rPr>
          <w:rFonts w:ascii="Calibri" w:cs="Calibri" w:eastAsia="Calibri" w:hAnsi="Calibri"/>
          <w:color w:val="1F2A33"/>
          <w:sz w:val="21"/>
          <w:szCs w:val="21"/>
        </w:rPr>
        <w:t xml:space="preserve">Observability for Data Products &amp; Agents</w:t>
      </w:r>
    </w:p>
    <w:p>
      <w:pPr>
        <w:spacing w:after="60"/>
        <w:ind w:left="240"/>
      </w:pPr>
      <w:r>
        <w:rPr>
          <w:rFonts w:ascii="Calibri" w:cs="Calibri" w:eastAsia="Calibri" w:hAnsi="Calibri"/>
          <w:b/>
          <w:bCs/>
          <w:color w:val="B98A1B"/>
          <w:sz w:val="21"/>
          <w:szCs w:val="21"/>
        </w:rPr>
        <w:t xml:space="preserve">20.  </w:t>
      </w:r>
      <w:r>
        <w:rPr>
          <w:rFonts w:ascii="Calibri" w:cs="Calibri" w:eastAsia="Calibri" w:hAnsi="Calibri"/>
          <w:color w:val="1F2A33"/>
          <w:sz w:val="21"/>
          <w:szCs w:val="21"/>
        </w:rPr>
        <w:t xml:space="preserve">Marketplace Academy</w:t>
      </w:r>
    </w:p>
    <w:p>
      <w:pPr>
        <w:spacing w:after="80" w:before="200"/>
      </w:pPr>
      <w:r>
        <w:rPr>
          <w:rFonts w:ascii="Calibri" w:cs="Calibri" w:eastAsia="Calibri" w:hAnsi="Calibri"/>
          <w:b/>
          <w:bCs/>
          <w:color w:val="117A8B"/>
          <w:sz w:val="22"/>
          <w:szCs w:val="22"/>
        </w:rPr>
        <w:t xml:space="preserve">Part V — Engineering</w:t>
      </w:r>
    </w:p>
    <w:p>
      <w:pPr>
        <w:spacing w:after="60"/>
        <w:ind w:left="240"/>
      </w:pPr>
      <w:r>
        <w:rPr>
          <w:rFonts w:ascii="Calibri" w:cs="Calibri" w:eastAsia="Calibri" w:hAnsi="Calibri"/>
          <w:b/>
          <w:bCs/>
          <w:color w:val="B98A1B"/>
          <w:sz w:val="21"/>
          <w:szCs w:val="21"/>
        </w:rPr>
        <w:t xml:space="preserve">21.  </w:t>
      </w:r>
      <w:r>
        <w:rPr>
          <w:rFonts w:ascii="Calibri" w:cs="Calibri" w:eastAsia="Calibri" w:hAnsi="Calibri"/>
          <w:color w:val="1F2A33"/>
          <w:sz w:val="21"/>
          <w:szCs w:val="21"/>
        </w:rPr>
        <w:t xml:space="preserve">Canonical Data Model &amp; Physical Schema</w:t>
      </w:r>
    </w:p>
    <w:p>
      <w:pPr>
        <w:spacing w:after="60"/>
        <w:ind w:left="240"/>
      </w:pPr>
      <w:r>
        <w:rPr>
          <w:rFonts w:ascii="Calibri" w:cs="Calibri" w:eastAsia="Calibri" w:hAnsi="Calibri"/>
          <w:b/>
          <w:bCs/>
          <w:color w:val="B98A1B"/>
          <w:sz w:val="21"/>
          <w:szCs w:val="21"/>
        </w:rPr>
        <w:t xml:space="preserve">22.  </w:t>
      </w:r>
      <w:r>
        <w:rPr>
          <w:rFonts w:ascii="Calibri" w:cs="Calibri" w:eastAsia="Calibri" w:hAnsi="Calibri"/>
          <w:color w:val="1F2A33"/>
          <w:sz w:val="21"/>
          <w:szCs w:val="21"/>
        </w:rPr>
        <w:t xml:space="preserve">Reference Architecture &amp; Technology Stack</w:t>
      </w:r>
    </w:p>
    <w:p>
      <w:pPr>
        <w:spacing w:after="60"/>
        <w:ind w:left="240"/>
      </w:pPr>
      <w:r>
        <w:rPr>
          <w:rFonts w:ascii="Calibri" w:cs="Calibri" w:eastAsia="Calibri" w:hAnsi="Calibri"/>
          <w:b/>
          <w:bCs/>
          <w:color w:val="B98A1B"/>
          <w:sz w:val="21"/>
          <w:szCs w:val="21"/>
        </w:rPr>
        <w:t xml:space="preserve">23.  </w:t>
      </w:r>
      <w:r>
        <w:rPr>
          <w:rFonts w:ascii="Calibri" w:cs="Calibri" w:eastAsia="Calibri" w:hAnsi="Calibri"/>
          <w:color w:val="1F2A33"/>
          <w:sz w:val="21"/>
          <w:szCs w:val="21"/>
        </w:rPr>
        <w:t xml:space="preserve">API Specification</w:t>
      </w:r>
    </w:p>
    <w:p>
      <w:pPr>
        <w:spacing w:after="60"/>
        <w:ind w:left="240"/>
      </w:pPr>
      <w:r>
        <w:rPr>
          <w:rFonts w:ascii="Calibri" w:cs="Calibri" w:eastAsia="Calibri" w:hAnsi="Calibri"/>
          <w:b/>
          <w:bCs/>
          <w:color w:val="B98A1B"/>
          <w:sz w:val="21"/>
          <w:szCs w:val="21"/>
        </w:rPr>
        <w:t xml:space="preserve">24.  </w:t>
      </w:r>
      <w:r>
        <w:rPr>
          <w:rFonts w:ascii="Calibri" w:cs="Calibri" w:eastAsia="Calibri" w:hAnsi="Calibri"/>
          <w:color w:val="1F2A33"/>
          <w:sz w:val="21"/>
          <w:szCs w:val="21"/>
        </w:rPr>
        <w:t xml:space="preserve">Non-Functional Requirements, Security &amp; Compliance</w:t>
      </w:r>
    </w:p>
    <w:p>
      <w:pPr>
        <w:spacing w:after="80" w:before="200"/>
      </w:pPr>
      <w:r>
        <w:rPr>
          <w:rFonts w:ascii="Calibri" w:cs="Calibri" w:eastAsia="Calibri" w:hAnsi="Calibri"/>
          <w:b/>
          <w:bCs/>
          <w:color w:val="117A8B"/>
          <w:sz w:val="22"/>
          <w:szCs w:val="22"/>
        </w:rPr>
        <w:t xml:space="preserve">Part VI — Seed Content</w:t>
      </w:r>
    </w:p>
    <w:p>
      <w:pPr>
        <w:spacing w:after="60"/>
        <w:ind w:left="240"/>
      </w:pPr>
      <w:r>
        <w:rPr>
          <w:rFonts w:ascii="Calibri" w:cs="Calibri" w:eastAsia="Calibri" w:hAnsi="Calibri"/>
          <w:b/>
          <w:bCs/>
          <w:color w:val="B98A1B"/>
          <w:sz w:val="21"/>
          <w:szCs w:val="21"/>
        </w:rPr>
        <w:t xml:space="preserve">25.  </w:t>
      </w:r>
      <w:r>
        <w:rPr>
          <w:rFonts w:ascii="Calibri" w:cs="Calibri" w:eastAsia="Calibri" w:hAnsi="Calibri"/>
          <w:color w:val="1F2A33"/>
          <w:sz w:val="21"/>
          <w:szCs w:val="21"/>
        </w:rPr>
        <w:t xml:space="preserve">Seed Catalog — 15 Domain Data Products</w:t>
      </w:r>
    </w:p>
    <w:p>
      <w:pPr>
        <w:spacing w:after="60"/>
        <w:ind w:left="240"/>
      </w:pPr>
      <w:r>
        <w:rPr>
          <w:rFonts w:ascii="Calibri" w:cs="Calibri" w:eastAsia="Calibri" w:hAnsi="Calibri"/>
          <w:b/>
          <w:bCs/>
          <w:color w:val="B98A1B"/>
          <w:sz w:val="21"/>
          <w:szCs w:val="21"/>
        </w:rPr>
        <w:t xml:space="preserve">26.  </w:t>
      </w:r>
      <w:r>
        <w:rPr>
          <w:rFonts w:ascii="Calibri" w:cs="Calibri" w:eastAsia="Calibri" w:hAnsi="Calibri"/>
          <w:color w:val="1F2A33"/>
          <w:sz w:val="21"/>
          <w:szCs w:val="21"/>
        </w:rPr>
        <w:t xml:space="preserve">Seed Catalog — 14 AI Agents</w:t>
      </w:r>
    </w:p>
    <w:p>
      <w:pPr>
        <w:spacing w:after="60"/>
        <w:ind w:left="240"/>
      </w:pPr>
      <w:r>
        <w:rPr>
          <w:rFonts w:ascii="Calibri" w:cs="Calibri" w:eastAsia="Calibri" w:hAnsi="Calibri"/>
          <w:b/>
          <w:bCs/>
          <w:color w:val="B98A1B"/>
          <w:sz w:val="21"/>
          <w:szCs w:val="21"/>
        </w:rPr>
        <w:t xml:space="preserve">27.  </w:t>
      </w:r>
      <w:r>
        <w:rPr>
          <w:rFonts w:ascii="Calibri" w:cs="Calibri" w:eastAsia="Calibri" w:hAnsi="Calibri"/>
          <w:color w:val="1F2A33"/>
          <w:sz w:val="21"/>
          <w:szCs w:val="21"/>
        </w:rPr>
        <w:t xml:space="preserve">Demo Question Bank — 70 Scripted Exchanges</w:t>
      </w:r>
    </w:p>
    <w:p>
      <w:pPr>
        <w:spacing w:after="80" w:before="200"/>
      </w:pPr>
      <w:r>
        <w:rPr>
          <w:rFonts w:ascii="Calibri" w:cs="Calibri" w:eastAsia="Calibri" w:hAnsi="Calibri"/>
          <w:b/>
          <w:bCs/>
          <w:color w:val="117A8B"/>
          <w:sz w:val="22"/>
          <w:szCs w:val="22"/>
        </w:rPr>
        <w:t xml:space="preserve">Part VII — Platform Disciplines</w:t>
      </w:r>
    </w:p>
    <w:p>
      <w:pPr>
        <w:spacing w:after="60"/>
        <w:ind w:left="240"/>
      </w:pPr>
      <w:r>
        <w:rPr>
          <w:rFonts w:ascii="Calibri" w:cs="Calibri" w:eastAsia="Calibri" w:hAnsi="Calibri"/>
          <w:b/>
          <w:bCs/>
          <w:color w:val="B98A1B"/>
          <w:sz w:val="21"/>
          <w:szCs w:val="21"/>
        </w:rPr>
        <w:t xml:space="preserve">28.  </w:t>
      </w:r>
      <w:r>
        <w:rPr>
          <w:rFonts w:ascii="Calibri" w:cs="Calibri" w:eastAsia="Calibri" w:hAnsi="Calibri"/>
          <w:color w:val="1F2A33"/>
          <w:sz w:val="21"/>
          <w:szCs w:val="21"/>
        </w:rPr>
        <w:t xml:space="preserve">Certified KPI Registry &amp; Semantic Backbone</w:t>
      </w:r>
    </w:p>
    <w:p>
      <w:pPr>
        <w:spacing w:after="60"/>
        <w:ind w:left="240"/>
      </w:pPr>
      <w:r>
        <w:rPr>
          <w:rFonts w:ascii="Calibri" w:cs="Calibri" w:eastAsia="Calibri" w:hAnsi="Calibri"/>
          <w:b/>
          <w:bCs/>
          <w:color w:val="B98A1B"/>
          <w:sz w:val="21"/>
          <w:szCs w:val="21"/>
        </w:rPr>
        <w:t xml:space="preserve">29.  </w:t>
      </w:r>
      <w:r>
        <w:rPr>
          <w:rFonts w:ascii="Calibri" w:cs="Calibri" w:eastAsia="Calibri" w:hAnsi="Calibri"/>
          <w:color w:val="1F2A33"/>
          <w:sz w:val="21"/>
          <w:szCs w:val="21"/>
        </w:rPr>
        <w:t xml:space="preserve">AgentOps — Evaluation, Safety &amp; Release Governance</w:t>
      </w:r>
    </w:p>
    <w:p>
      <w:pPr>
        <w:spacing w:after="60"/>
        <w:ind w:left="240"/>
      </w:pPr>
      <w:r>
        <w:rPr>
          <w:rFonts w:ascii="Calibri" w:cs="Calibri" w:eastAsia="Calibri" w:hAnsi="Calibri"/>
          <w:b/>
          <w:bCs/>
          <w:color w:val="B98A1B"/>
          <w:sz w:val="21"/>
          <w:szCs w:val="21"/>
        </w:rPr>
        <w:t xml:space="preserve">30.  </w:t>
      </w:r>
      <w:r>
        <w:rPr>
          <w:rFonts w:ascii="Calibri" w:cs="Calibri" w:eastAsia="Calibri" w:hAnsi="Calibri"/>
          <w:color w:val="1F2A33"/>
          <w:sz w:val="21"/>
          <w:szCs w:val="21"/>
        </w:rPr>
        <w:t xml:space="preserve">Cost Governance &amp; FinOps</w:t>
      </w:r>
    </w:p>
    <w:p>
      <w:pPr>
        <w:spacing w:after="60"/>
        <w:ind w:left="240"/>
      </w:pPr>
      <w:r>
        <w:rPr>
          <w:rFonts w:ascii="Calibri" w:cs="Calibri" w:eastAsia="Calibri" w:hAnsi="Calibri"/>
          <w:b/>
          <w:bCs/>
          <w:color w:val="B98A1B"/>
          <w:sz w:val="21"/>
          <w:szCs w:val="21"/>
        </w:rPr>
        <w:t xml:space="preserve">31.  </w:t>
      </w:r>
      <w:r>
        <w:rPr>
          <w:rFonts w:ascii="Calibri" w:cs="Calibri" w:eastAsia="Calibri" w:hAnsi="Calibri"/>
          <w:color w:val="1F2A33"/>
          <w:sz w:val="21"/>
          <w:szCs w:val="21"/>
        </w:rPr>
        <w:t xml:space="preserve">Standards &amp; Interoperability</w:t>
      </w:r>
    </w:p>
    <w:p>
      <w:pPr>
        <w:spacing w:after="60"/>
        <w:ind w:left="240"/>
      </w:pPr>
      <w:r>
        <w:rPr>
          <w:rFonts w:ascii="Calibri" w:cs="Calibri" w:eastAsia="Calibri" w:hAnsi="Calibri"/>
          <w:b/>
          <w:bCs/>
          <w:color w:val="B98A1B"/>
          <w:sz w:val="21"/>
          <w:szCs w:val="21"/>
        </w:rPr>
        <w:t xml:space="preserve">32.  </w:t>
      </w:r>
      <w:r>
        <w:rPr>
          <w:rFonts w:ascii="Calibri" w:cs="Calibri" w:eastAsia="Calibri" w:hAnsi="Calibri"/>
          <w:color w:val="1F2A33"/>
          <w:sz w:val="21"/>
          <w:szCs w:val="21"/>
        </w:rPr>
        <w:t xml:space="preserve">Design System &amp; Front-End Engineering</w:t>
      </w:r>
    </w:p>
    <w:p>
      <w:pPr>
        <w:spacing w:after="60"/>
        <w:ind w:left="240"/>
      </w:pPr>
      <w:r>
        <w:rPr>
          <w:rFonts w:ascii="Calibri" w:cs="Calibri" w:eastAsia="Calibri" w:hAnsi="Calibri"/>
          <w:b/>
          <w:bCs/>
          <w:color w:val="B98A1B"/>
          <w:sz w:val="21"/>
          <w:szCs w:val="21"/>
        </w:rPr>
        <w:t xml:space="preserve">33.  </w:t>
      </w:r>
      <w:r>
        <w:rPr>
          <w:rFonts w:ascii="Calibri" w:cs="Calibri" w:eastAsia="Calibri" w:hAnsi="Calibri"/>
          <w:color w:val="1F2A33"/>
          <w:sz w:val="21"/>
          <w:szCs w:val="21"/>
        </w:rPr>
        <w:t xml:space="preserve">Testing, Environments &amp; Release Engineering</w:t>
      </w:r>
    </w:p>
    <w:p>
      <w:pPr>
        <w:spacing w:after="60"/>
        <w:ind w:left="240"/>
      </w:pPr>
      <w:r>
        <w:rPr>
          <w:rFonts w:ascii="Calibri" w:cs="Calibri" w:eastAsia="Calibri" w:hAnsi="Calibri"/>
          <w:b/>
          <w:bCs/>
          <w:color w:val="B98A1B"/>
          <w:sz w:val="21"/>
          <w:szCs w:val="21"/>
        </w:rPr>
        <w:t xml:space="preserve">34.  </w:t>
      </w:r>
      <w:r>
        <w:rPr>
          <w:rFonts w:ascii="Calibri" w:cs="Calibri" w:eastAsia="Calibri" w:hAnsi="Calibri"/>
          <w:color w:val="1F2A33"/>
          <w:sz w:val="21"/>
          <w:szCs w:val="21"/>
        </w:rPr>
        <w:t xml:space="preserve">Estate Bootstrap &amp; Onboarding</w:t>
      </w:r>
    </w:p>
    <w:p>
      <w:pPr>
        <w:spacing w:after="60"/>
        <w:ind w:left="240"/>
      </w:pPr>
      <w:r>
        <w:rPr>
          <w:rFonts w:ascii="Calibri" w:cs="Calibri" w:eastAsia="Calibri" w:hAnsi="Calibri"/>
          <w:b/>
          <w:bCs/>
          <w:color w:val="B98A1B"/>
          <w:sz w:val="21"/>
          <w:szCs w:val="21"/>
        </w:rPr>
        <w:t xml:space="preserve">35.  </w:t>
      </w:r>
      <w:r>
        <w:rPr>
          <w:rFonts w:ascii="Calibri" w:cs="Calibri" w:eastAsia="Calibri" w:hAnsi="Calibri"/>
          <w:color w:val="1F2A33"/>
          <w:sz w:val="21"/>
          <w:szCs w:val="21"/>
        </w:rPr>
        <w:t xml:space="preserve">Product Analytics &amp; Success Metrics</w:t>
      </w:r>
    </w:p>
    <w:p>
      <w:pPr>
        <w:spacing w:after="60"/>
        <w:ind w:left="240"/>
      </w:pPr>
      <w:r>
        <w:rPr>
          <w:rFonts w:ascii="Calibri" w:cs="Calibri" w:eastAsia="Calibri" w:hAnsi="Calibri"/>
          <w:b/>
          <w:bCs/>
          <w:color w:val="B98A1B"/>
          <w:sz w:val="21"/>
          <w:szCs w:val="21"/>
        </w:rPr>
        <w:t xml:space="preserve">36.  </w:t>
      </w:r>
      <w:r>
        <w:rPr>
          <w:rFonts w:ascii="Calibri" w:cs="Calibri" w:eastAsia="Calibri" w:hAnsi="Calibri"/>
          <w:color w:val="1F2A33"/>
          <w:sz w:val="21"/>
          <w:szCs w:val="21"/>
        </w:rPr>
        <w:t xml:space="preserve">Commercial Model &amp; Packaging</w:t>
      </w:r>
    </w:p>
    <w:p>
      <w:pPr>
        <w:spacing w:after="80" w:before="200"/>
      </w:pPr>
      <w:r>
        <w:rPr>
          <w:rFonts w:ascii="Calibri" w:cs="Calibri" w:eastAsia="Calibri" w:hAnsi="Calibri"/>
          <w:b/>
          <w:bCs/>
          <w:color w:val="117A8B"/>
          <w:sz w:val="22"/>
          <w:szCs w:val="22"/>
        </w:rPr>
        <w:t xml:space="preserve">Part VIII — Delivery</w:t>
      </w:r>
    </w:p>
    <w:p>
      <w:pPr>
        <w:spacing w:after="60"/>
        <w:ind w:left="240"/>
      </w:pPr>
      <w:r>
        <w:rPr>
          <w:rFonts w:ascii="Calibri" w:cs="Calibri" w:eastAsia="Calibri" w:hAnsi="Calibri"/>
          <w:b/>
          <w:bCs/>
          <w:color w:val="B98A1B"/>
          <w:sz w:val="21"/>
          <w:szCs w:val="21"/>
        </w:rPr>
        <w:t xml:space="preserve">37.  </w:t>
      </w:r>
      <w:r>
        <w:rPr>
          <w:rFonts w:ascii="Calibri" w:cs="Calibri" w:eastAsia="Calibri" w:hAnsi="Calibri"/>
          <w:color w:val="1F2A33"/>
          <w:sz w:val="21"/>
          <w:szCs w:val="21"/>
        </w:rPr>
        <w:t xml:space="preserve">Build Plan for Coding Agents</w:t>
      </w:r>
    </w:p>
    <w:p>
      <w:pPr>
        <w:spacing w:after="60"/>
        <w:ind w:left="240"/>
      </w:pPr>
      <w:r>
        <w:rPr>
          <w:rFonts w:ascii="Calibri" w:cs="Calibri" w:eastAsia="Calibri" w:hAnsi="Calibri"/>
          <w:b/>
          <w:bCs/>
          <w:color w:val="B98A1B"/>
          <w:sz w:val="21"/>
          <w:szCs w:val="21"/>
        </w:rPr>
        <w:t xml:space="preserve">38.  </w:t>
      </w:r>
      <w:r>
        <w:rPr>
          <w:rFonts w:ascii="Calibri" w:cs="Calibri" w:eastAsia="Calibri" w:hAnsi="Calibri"/>
          <w:color w:val="1F2A33"/>
          <w:sz w:val="21"/>
          <w:szCs w:val="21"/>
        </w:rPr>
        <w:t xml:space="preserve">Delivery Roadmap &amp; Exit Criteria</w:t>
      </w:r>
    </w:p>
    <w:p>
      <w:pPr>
        <w:spacing w:after="60"/>
        <w:ind w:left="240"/>
      </w:pPr>
      <w:r>
        <w:rPr>
          <w:rFonts w:ascii="Calibri" w:cs="Calibri" w:eastAsia="Calibri" w:hAnsi="Calibri"/>
          <w:b/>
          <w:bCs/>
          <w:color w:val="B98A1B"/>
          <w:sz w:val="21"/>
          <w:szCs w:val="21"/>
        </w:rPr>
        <w:t xml:space="preserve">39.  </w:t>
      </w:r>
      <w:r>
        <w:rPr>
          <w:rFonts w:ascii="Calibri" w:cs="Calibri" w:eastAsia="Calibri" w:hAnsi="Calibri"/>
          <w:color w:val="1F2A33"/>
          <w:sz w:val="21"/>
          <w:szCs w:val="21"/>
        </w:rPr>
        <w:t xml:space="preserve">Client Demonstration Narrative</w:t>
      </w:r>
    </w:p>
    <w:p>
      <w:pPr>
        <w:spacing w:after="60"/>
        <w:ind w:left="240"/>
      </w:pPr>
      <w:r>
        <w:rPr>
          <w:rFonts w:ascii="Calibri" w:cs="Calibri" w:eastAsia="Calibri" w:hAnsi="Calibri"/>
          <w:b/>
          <w:bCs/>
          <w:color w:val="B98A1B"/>
          <w:sz w:val="21"/>
          <w:szCs w:val="21"/>
        </w:rPr>
        <w:t xml:space="preserve">40.  </w:t>
      </w:r>
      <w:r>
        <w:rPr>
          <w:rFonts w:ascii="Calibri" w:cs="Calibri" w:eastAsia="Calibri" w:hAnsi="Calibri"/>
          <w:color w:val="1F2A33"/>
          <w:sz w:val="21"/>
          <w:szCs w:val="21"/>
        </w:rPr>
        <w:t xml:space="preserve">Risk Register &amp; Anti-Requirements</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 Executive Summary</w:t>
      </w:r>
    </w:p>
    <w:p>
      <w:pPr>
        <w:spacing w:after="120" w:line="276"/>
        <w:jc w:val="left"/>
      </w:pPr>
      <w:r>
        <w:rPr>
          <w:rFonts w:ascii="Calibri" w:cs="Calibri" w:eastAsia="Calibri" w:hAnsi="Calibri"/>
          <w:b w:val="false"/>
          <w:bCs w:val="false"/>
          <w:i w:val="false"/>
          <w:iCs w:val="false"/>
          <w:color w:val="1F2A33"/>
          <w:sz w:val="21"/>
          <w:szCs w:val="21"/>
        </w:rPr>
        <w:t xml:space="preserve">Enterprises have spent a decade building data platforms and are now spending a year building AI agents on top of them. The two efforts are almost never connected. Data products are published into catalogs that business users do not visit; agents are built in isolation by teams who cannot see which certified data product already answers the question they are hand-rolling a pipeline for. The result is duplicated supply, ungoverned agent access, and a consumer population that still files a ticket and waits three weeks.</w:t>
      </w:r>
    </w:p>
    <w:p>
      <w:pPr>
        <w:spacing w:after="120" w:line="276"/>
        <w:jc w:val="left"/>
      </w:pPr>
      <w:r>
        <w:rPr>
          <w:rFonts w:ascii="Calibri" w:cs="Calibri" w:eastAsia="Calibri" w:hAnsi="Calibri"/>
          <w:b w:val="false"/>
          <w:bCs w:val="false"/>
          <w:i w:val="false"/>
          <w:iCs w:val="false"/>
          <w:color w:val="1F2A33"/>
          <w:sz w:val="21"/>
          <w:szCs w:val="21"/>
        </w:rPr>
        <w:t xml:space="preserve">The Marketplace is an enterprise-grade platform that treats data products and AI agents as one governed supply chain. A business user browses domain data products, sees the agents that already run on them, watches those agents answer real questions in a live demo console, requests access in a workflow that provisions entitlements mechanically, and — when nothing in the catalog fits — files a demand request that lands in the same backlog that produced everything else on the shelf.</w:t>
      </w:r>
    </w:p>
    <w:p>
      <w:pPr>
        <w:pStyle w:val="Heading2"/>
        <w:spacing w:after="120" w:before="280"/>
      </w:pPr>
      <w:r>
        <w:rPr>
          <w:rFonts w:ascii="Calibri" w:cs="Calibri" w:eastAsia="Calibri" w:hAnsi="Calibri"/>
          <w:b/>
          <w:bCs/>
          <w:color w:val="117A8B"/>
          <w:sz w:val="25"/>
          <w:szCs w:val="25"/>
        </w:rPr>
        <w:t xml:space="preserve">1.1 Seven Capabilities That Define the Product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419"/>
        <w:gridCol w:w="7661"/>
      </w:tblGrid>
      <w:tr>
        <w:trPr>
          <w:tblHeader/>
        </w:trPr>
        <w:tc>
          <w:tcPr>
            <w:tcW w:type="dxa" w:w="241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Capability</w:t>
            </w:r>
          </w:p>
        </w:tc>
        <w:tc>
          <w:tcPr>
            <w:tcW w:type="dxa" w:w="766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What it delivers</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Dual catalog</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Data products and AI agents are first-class, cross-linked citizens of one catalog. Every agent declares the data products it consumes; every data product exposes the agents that consume it.</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Evidence-backed listings</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Every listing carries a live data quality score, freshness posture, owner, data contract, consumption endpoints, adoption metrics, and a quantified value case — sourced from telemetry, not from a wiki page.</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Live demo console</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Each agent ships with a minimum of five curated question–answer exchanges that execute against real (or demo-tier) data, so a prospective consumer sees the answer before requesting access.</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Governed request rails</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Three request types — access, enhancement, and new-supply demand — run through one workflow engine with SLA clocks, approval chains, and mechanical provisioning on approval.</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Two meshes</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A data product mesh linking products that share upstream sources, and an agent mesh linking agents by KPI, domain and data-product overlap. Both are computed from lineage and metadata, not drawn by hand.</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Observability plane</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Freshness, quality, contract conformance, cost, latency, groundedness, deflection and drift — for products and agents alike — with regression alerting to owners.</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Academy</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Role-based learning paths, certification, and an in-context "how do I consume this" runbook attached to every listing.</w:t>
            </w:r>
          </w:p>
        </w:tc>
      </w:tr>
    </w:tbl>
    <w:p>
      <w:pPr>
        <w:pStyle w:val="Heading2"/>
        <w:spacing w:after="120" w:before="280"/>
      </w:pPr>
      <w:r>
        <w:rPr>
          <w:rFonts w:ascii="Calibri" w:cs="Calibri" w:eastAsia="Calibri" w:hAnsi="Calibri"/>
          <w:b/>
          <w:bCs/>
          <w:color w:val="117A8B"/>
          <w:sz w:val="25"/>
          <w:szCs w:val="25"/>
        </w:rPr>
        <w:t xml:space="preserve">1.2 Why This Is Different</w:t>
      </w:r>
    </w:p>
    <w:p>
      <w:pPr>
        <w:spacing w:after="110" w:line="276"/>
      </w:pPr>
      <w:r>
        <w:rPr>
          <w:rFonts w:ascii="Calibri" w:cs="Calibri" w:eastAsia="Calibri" w:hAnsi="Calibri"/>
          <w:b/>
          <w:bCs/>
          <w:color w:val="0B2C4D"/>
          <w:sz w:val="21"/>
          <w:szCs w:val="21"/>
        </w:rPr>
        <w:t xml:space="preserve">A catalog tells you what exists. A marketplace makes you want it, lets you try it, and gets you access.</w:t>
      </w:r>
      <w:r>
        <w:rPr>
          <w:rFonts w:ascii="Calibri" w:cs="Calibri" w:eastAsia="Calibri" w:hAnsi="Calibri"/>
          <w:color w:val="1F2A33"/>
          <w:sz w:val="21"/>
          <w:szCs w:val="21"/>
        </w:rPr>
        <w:t xml:space="preserve"> Three design decisions carry that difference.</w:t>
      </w:r>
    </w:p>
    <w:p>
      <w:pPr>
        <w:pStyle w:val="ListParagraph"/>
        <w:numPr>
          <w:ilvl w:val="0"/>
          <w:numId w:val="2"/>
        </w:numPr>
        <w:spacing w:after="70" w:line="268"/>
      </w:pPr>
      <w:r>
        <w:rPr>
          <w:rFonts w:ascii="Calibri" w:cs="Calibri" w:eastAsia="Calibri" w:hAnsi="Calibri"/>
          <w:b/>
          <w:bCs/>
          <w:color w:val="0B2C4D"/>
          <w:sz w:val="21"/>
          <w:szCs w:val="21"/>
        </w:rPr>
        <w:t xml:space="preserve">Supply and demand are modelled symmetrically.</w:t>
      </w:r>
      <w:r>
        <w:rPr>
          <w:rFonts w:ascii="Calibri" w:cs="Calibri" w:eastAsia="Calibri" w:hAnsi="Calibri"/>
          <w:color w:val="1F2A33"/>
          <w:sz w:val="21"/>
          <w:szCs w:val="21"/>
        </w:rPr>
        <w:t xml:space="preserve"> Most catalogs model only supply. The Marketplace models unmet demand as a first-class object with the same lifecycle, scoring and visibility as a published product — so the roadmap is driven by observed consumer need rather than platform-team intuition.</w:t>
      </w:r>
    </w:p>
    <w:p>
      <w:pPr>
        <w:pStyle w:val="ListParagraph"/>
        <w:numPr>
          <w:ilvl w:val="0"/>
          <w:numId w:val="2"/>
        </w:numPr>
        <w:spacing w:after="70" w:line="268"/>
      </w:pPr>
      <w:r>
        <w:rPr>
          <w:rFonts w:ascii="Calibri" w:cs="Calibri" w:eastAsia="Calibri" w:hAnsi="Calibri"/>
          <w:b/>
          <w:bCs/>
          <w:color w:val="0B2C4D"/>
          <w:sz w:val="21"/>
          <w:szCs w:val="21"/>
        </w:rPr>
        <w:t xml:space="preserve">Agents are catalog entries, not features.</w:t>
      </w:r>
      <w:r>
        <w:rPr>
          <w:rFonts w:ascii="Calibri" w:cs="Calibri" w:eastAsia="Calibri" w:hAnsi="Calibri"/>
          <w:color w:val="1F2A33"/>
          <w:sz w:val="21"/>
          <w:szCs w:val="21"/>
        </w:rPr>
        <w:t xml:space="preserve"> An agent has an owner, a contract, a cost per answer, an accuracy posture, an entitlement scope, and a value case — exactly like a data product. Treating agents as inventory is what makes them governable at scale.</w:t>
      </w:r>
    </w:p>
    <w:p>
      <w:pPr>
        <w:pStyle w:val="ListParagraph"/>
        <w:numPr>
          <w:ilvl w:val="0"/>
          <w:numId w:val="2"/>
        </w:numPr>
        <w:spacing w:after="70" w:line="268"/>
      </w:pPr>
      <w:r>
        <w:rPr>
          <w:rFonts w:ascii="Calibri" w:cs="Calibri" w:eastAsia="Calibri" w:hAnsi="Calibri"/>
          <w:b/>
          <w:bCs/>
          <w:color w:val="0B2C4D"/>
          <w:sz w:val="21"/>
          <w:szCs w:val="21"/>
        </w:rPr>
        <w:t xml:space="preserve">Trust is rendered, not asserted.</w:t>
      </w:r>
      <w:r>
        <w:rPr>
          <w:rFonts w:ascii="Calibri" w:cs="Calibri" w:eastAsia="Calibri" w:hAnsi="Calibri"/>
          <w:color w:val="1F2A33"/>
          <w:sz w:val="21"/>
          <w:szCs w:val="21"/>
        </w:rPr>
        <w:t xml:space="preserve"> Quality scores, contract SLAs, and groundedness rates are drawn from the observability plane and displayed on the listing at browse time. A consumer never has to leave the marketplace to decide whether an asset is safe to depend on.</w:t>
      </w:r>
    </w:p>
    <w:p>
      <w:pPr>
        <w:pStyle w:val="Heading2"/>
        <w:spacing w:after="120" w:before="280"/>
      </w:pPr>
      <w:r>
        <w:rPr>
          <w:rFonts w:ascii="Calibri" w:cs="Calibri" w:eastAsia="Calibri" w:hAnsi="Calibri"/>
          <w:b/>
          <w:bCs/>
          <w:color w:val="117A8B"/>
          <w:sz w:val="25"/>
          <w:szCs w:val="25"/>
        </w:rPr>
        <w:t xml:space="preserve">1.3 Scope of This Specification</w:t>
      </w:r>
    </w:p>
    <w:p>
      <w:pPr>
        <w:spacing w:after="120" w:line="276"/>
        <w:jc w:val="left"/>
      </w:pPr>
      <w:r>
        <w:rPr>
          <w:rFonts w:ascii="Calibri" w:cs="Calibri" w:eastAsia="Calibri" w:hAnsi="Calibri"/>
          <w:b w:val="false"/>
          <w:bCs w:val="false"/>
          <w:i w:val="false"/>
          <w:iCs w:val="false"/>
          <w:color w:val="1F2A33"/>
          <w:sz w:val="21"/>
          <w:szCs w:val="21"/>
        </w:rPr>
        <w:t xml:space="preserve">Sections 1–6 define the product and its front-of-house experience. Sections 7–12 specify the catalog and detail surfaces in wireframe-level detail. Sections 13–15 define the three request workflows. Sections 16–20 cover the mesh, value analytics, observability and academy modules. Sections 21–24 give the engineering team a canonical data model, physical schema, reference architecture, API surface, and non-functional requirements. Sections 25–27 supply the complete seed catalog and 60 scripted demo exchanges. Sections 28–36 cover the disciplines a production platform organisation requires: the KPI registry, AgentOps, FinOps, standards conformance, the design system, test and release engineering, estate bootstrap, product analytics and the commercial model. Sections 37–40 give the build plan, roadmap, demonstration script and risk register.</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 Business Problem</w:t>
      </w:r>
    </w:p>
    <w:p>
      <w:pPr>
        <w:spacing w:after="120" w:line="276"/>
        <w:jc w:val="left"/>
      </w:pPr>
      <w:r>
        <w:rPr>
          <w:rFonts w:ascii="Calibri" w:cs="Calibri" w:eastAsia="Calibri" w:hAnsi="Calibri"/>
          <w:b w:val="false"/>
          <w:bCs w:val="false"/>
          <w:i w:val="false"/>
          <w:iCs w:val="false"/>
          <w:color w:val="1F2A33"/>
          <w:sz w:val="21"/>
          <w:szCs w:val="21"/>
        </w:rPr>
        <w:t xml:space="preserve">Five failures recur across every enterprise data estate large enough to need a marketplace. Each maps to a specific capability in this specification.</w:t>
      </w:r>
    </w:p>
    <w:p>
      <w:pPr>
        <w:pStyle w:val="Heading2"/>
        <w:spacing w:after="120" w:before="280"/>
      </w:pPr>
      <w:r>
        <w:rPr>
          <w:rFonts w:ascii="Calibri" w:cs="Calibri" w:eastAsia="Calibri" w:hAnsi="Calibri"/>
          <w:b/>
          <w:bCs/>
          <w:color w:val="117A8B"/>
          <w:sz w:val="25"/>
          <w:szCs w:val="25"/>
        </w:rPr>
        <w:t xml:space="preserve">2.1 The Five Failures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714"/>
        <w:gridCol w:w="4435"/>
        <w:gridCol w:w="3931"/>
      </w:tblGrid>
      <w:tr>
        <w:trPr>
          <w:tblHeader/>
        </w:trPr>
        <w:tc>
          <w:tcPr>
            <w:tcW w:type="dxa" w:w="17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Failure</w:t>
            </w:r>
          </w:p>
        </w:tc>
        <w:tc>
          <w:tcPr>
            <w:tcW w:type="dxa" w:w="443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How it shows up</w:t>
            </w:r>
          </w:p>
        </w:tc>
        <w:tc>
          <w:tcPr>
            <w:tcW w:type="dxa" w:w="393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Platform response</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Discovery collapse</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Consumers cannot find certified data, so they rebuild it. Enterprises routinely run 4–8 competing definitions of the same KPI.</w:t>
            </w:r>
          </w:p>
        </w:tc>
        <w:tc>
          <w:tcPr>
            <w:tcW w:type="dxa" w:w="393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Domain-organized catalog with certified-KPI search, semantic matching, and duplicate-supply detection at intake (§7, §15)</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Trust vacuum</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Even when an asset is found, the consumer has no way to judge whether it is fresh, accurate or supported — so they escalate to a human for reassurance.</w:t>
            </w:r>
          </w:p>
        </w:tc>
        <w:tc>
          <w:tcPr>
            <w:tcW w:type="dxa" w:w="393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score, freshness clock, contract SLA and incident history rendered on every card and detail page (§8, §19)</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Access friction</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Access requests are email threads and ticket queues. Median time-to-first-query is measured in weeks, and entitlements are granted broadly because narrow scoping is manual work.</w:t>
            </w:r>
          </w:p>
        </w:tc>
        <w:tc>
          <w:tcPr>
            <w:tcW w:type="dxa" w:w="393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Structured access request with purpose capture, automated policy evaluation, and mechanical least-privilege provisioning on approval (§13)</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sprawl</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Agents proliferate outside governance. Nobody can answer which agents touch regulated data, what they can be asked, what they cost, or whether their answers are grounded.</w:t>
            </w:r>
          </w:p>
        </w:tc>
        <w:tc>
          <w:tcPr>
            <w:tcW w:type="dxa" w:w="393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Agents catalogued with entitlement scope, KPI coverage map, cost and groundedness telemetry, and an agent mesh that exposes duplication (§10, §17, §19)</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Invisible demand</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When the catalog does not serve a need, the need disappears into a spreadsheet. The platform roadmap is therefore built on anecdote.</w:t>
            </w:r>
          </w:p>
        </w:tc>
        <w:tc>
          <w:tcPr>
            <w:tcW w:type="dxa" w:w="393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Demand intake with vote aggregation, business-value scoring, duplicate clustering, and a public demand board (§15)</w:t>
            </w:r>
          </w:p>
        </w:tc>
      </w:tr>
    </w:tbl>
    <w:p>
      <w:pPr>
        <w:pStyle w:val="Heading2"/>
        <w:spacing w:after="120" w:before="280"/>
      </w:pPr>
      <w:r>
        <w:rPr>
          <w:rFonts w:ascii="Calibri" w:cs="Calibri" w:eastAsia="Calibri" w:hAnsi="Calibri"/>
          <w:b/>
          <w:bCs/>
          <w:color w:val="117A8B"/>
          <w:sz w:val="25"/>
          <w:szCs w:val="25"/>
        </w:rPr>
        <w:t xml:space="preserve">2.2 The Cost of the Status Quo</w:t>
      </w:r>
    </w:p>
    <w:p>
      <w:pPr>
        <w:pStyle w:val="ListParagraph"/>
        <w:numPr>
          <w:ilvl w:val="0"/>
          <w:numId w:val="2"/>
        </w:numPr>
        <w:spacing w:after="70" w:line="268"/>
      </w:pPr>
      <w:r>
        <w:rPr>
          <w:rFonts w:ascii="Calibri" w:cs="Calibri" w:eastAsia="Calibri" w:hAnsi="Calibri"/>
          <w:b/>
          <w:bCs/>
          <w:color w:val="0B2C4D"/>
          <w:sz w:val="21"/>
          <w:szCs w:val="21"/>
        </w:rPr>
        <w:t xml:space="preserve">Duplicated supply.</w:t>
      </w:r>
      <w:r>
        <w:rPr>
          <w:rFonts w:ascii="Calibri" w:cs="Calibri" w:eastAsia="Calibri" w:hAnsi="Calibri"/>
          <w:color w:val="1F2A33"/>
          <w:sz w:val="21"/>
          <w:szCs w:val="21"/>
        </w:rPr>
        <w:t xml:space="preserve"> Where KPI definitions are unmanaged, 30–60% of pipeline spend reproduces data that already exists in a certified form elsewhere in the estate.</w:t>
      </w:r>
    </w:p>
    <w:p>
      <w:pPr>
        <w:pStyle w:val="ListParagraph"/>
        <w:numPr>
          <w:ilvl w:val="0"/>
          <w:numId w:val="2"/>
        </w:numPr>
        <w:spacing w:after="70" w:line="268"/>
      </w:pPr>
      <w:r>
        <w:rPr>
          <w:rFonts w:ascii="Calibri" w:cs="Calibri" w:eastAsia="Calibri" w:hAnsi="Calibri"/>
          <w:b/>
          <w:bCs/>
          <w:color w:val="0B2C4D"/>
          <w:sz w:val="21"/>
          <w:szCs w:val="21"/>
        </w:rPr>
        <w:t xml:space="preserve">Stalled AI programs.</w:t>
      </w:r>
      <w:r>
        <w:rPr>
          <w:rFonts w:ascii="Calibri" w:cs="Calibri" w:eastAsia="Calibri" w:hAnsi="Calibri"/>
          <w:color w:val="1F2A33"/>
          <w:sz w:val="21"/>
          <w:szCs w:val="21"/>
        </w:rPr>
        <w:t xml:space="preserve"> Copilot and agent pilots stall at security review because the entitlement scope of the agent cannot be described, let alone constrained, and because no artifact demonstrates what the agent will and will not answer.</w:t>
      </w:r>
    </w:p>
    <w:p>
      <w:pPr>
        <w:pStyle w:val="ListParagraph"/>
        <w:numPr>
          <w:ilvl w:val="0"/>
          <w:numId w:val="2"/>
        </w:numPr>
        <w:spacing w:after="70" w:line="268"/>
      </w:pPr>
      <w:r>
        <w:rPr>
          <w:rFonts w:ascii="Calibri" w:cs="Calibri" w:eastAsia="Calibri" w:hAnsi="Calibri"/>
          <w:b/>
          <w:bCs/>
          <w:color w:val="0B2C4D"/>
          <w:sz w:val="21"/>
          <w:szCs w:val="21"/>
        </w:rPr>
        <w:t xml:space="preserve">Unrealized platform investment.</w:t>
      </w:r>
      <w:r>
        <w:rPr>
          <w:rFonts w:ascii="Calibri" w:cs="Calibri" w:eastAsia="Calibri" w:hAnsi="Calibri"/>
          <w:color w:val="1F2A33"/>
          <w:sz w:val="21"/>
          <w:szCs w:val="21"/>
        </w:rPr>
        <w:t xml:space="preserve"> A data product nobody adopts has negative return: it carries storage, compute, stewardship and on-call cost with no offsetting value. Without adoption telemetry, low-value products are never retired.</w:t>
      </w:r>
    </w:p>
    <w:p>
      <w:pPr>
        <w:pStyle w:val="ListParagraph"/>
        <w:numPr>
          <w:ilvl w:val="0"/>
          <w:numId w:val="2"/>
        </w:numPr>
        <w:spacing w:after="70" w:line="268"/>
      </w:pPr>
      <w:r>
        <w:rPr>
          <w:rFonts w:ascii="Calibri" w:cs="Calibri" w:eastAsia="Calibri" w:hAnsi="Calibri"/>
          <w:b/>
          <w:bCs/>
          <w:color w:val="0B2C4D"/>
          <w:sz w:val="21"/>
          <w:szCs w:val="21"/>
        </w:rPr>
        <w:t xml:space="preserve">Consumer attrition.</w:t>
      </w:r>
      <w:r>
        <w:rPr>
          <w:rFonts w:ascii="Calibri" w:cs="Calibri" w:eastAsia="Calibri" w:hAnsi="Calibri"/>
          <w:color w:val="1F2A33"/>
          <w:sz w:val="21"/>
          <w:szCs w:val="21"/>
        </w:rPr>
        <w:t xml:space="preserve"> Business users who wait weeks for access stop asking. Shadow extracts, unmanaged spreadsheets and personal copies of regulated data are the direct consequence of request friction.</w:t>
      </w:r>
    </w:p>
    <w:p>
      <w:pPr>
        <w:pStyle w:val="Heading2"/>
        <w:spacing w:after="120" w:before="280"/>
      </w:pPr>
      <w:r>
        <w:rPr>
          <w:rFonts w:ascii="Calibri" w:cs="Calibri" w:eastAsia="Calibri" w:hAnsi="Calibri"/>
          <w:b/>
          <w:bCs/>
          <w:color w:val="117A8B"/>
          <w:sz w:val="25"/>
          <w:szCs w:val="25"/>
        </w:rPr>
        <w:t xml:space="preserve">2.3 What Good Looks Like</w:t>
      </w:r>
    </w:p>
    <w:tbl>
      <w:tblPr>
        <w:tblW w:type="dxa" w:w="10080"/>
        <w:tblBorders>
          <w:top w:val="none" w:color="FFFFFF" w:sz="0"/>
          <w:left w:val="single" w:color="B98A1B" w:sz="18"/>
          <w:bottom w:val="none" w:color="FFFFFF" w:sz="0"/>
          <w:right w:val="none" w:color="FFFFFF" w:sz="0"/>
          <w:insideH w:val="none" w:color="FFFFFF" w:sz="0"/>
          <w:insideV w:val="none" w:color="FFFFFF" w:sz="0"/>
        </w:tblBorders>
      </w:tblPr>
      <w:tblGrid>
        <w:gridCol w:w="10080"/>
      </w:tblGrid>
      <w:tr>
        <w:tc>
          <w:tcPr>
            <w:tcW w:type="dxa" w:w="10080"/>
            <w:shd w:fill="E8F1F4" w:color="auto" w:val="clear"/>
            <w:tcMar>
              <w:top w:type="dxa" w:w="130"/>
              <w:left w:type="dxa" w:w="180"/>
              <w:bottom w:type="dxa" w:w="130"/>
              <w:right w:type="dxa" w:w="160"/>
            </w:tcMar>
          </w:tcPr>
          <w:p>
            <w:pPr>
              <w:spacing w:after="40" w:before="40" w:line="250"/>
              <w:jc w:val="left"/>
            </w:pPr>
            <w:r>
              <w:rPr>
                <w:rFonts w:ascii="Calibri" w:cs="Calibri" w:eastAsia="Calibri" w:hAnsi="Calibri"/>
                <w:b/>
                <w:bCs/>
                <w:color w:val="0B2C4D"/>
                <w:sz w:val="19"/>
                <w:szCs w:val="19"/>
              </w:rPr>
              <w:t xml:space="preserve">Target-state outcomes the product is designed to produce</w:t>
            </w:r>
          </w:p>
          <w:p>
            <w:pPr>
              <w:spacing w:after="40" w:before="40" w:line="250"/>
              <w:jc w:val="left"/>
            </w:pPr>
            <w:r>
              <w:rPr>
                <w:rFonts w:ascii="Calibri" w:cs="Calibri" w:eastAsia="Calibri" w:hAnsi="Calibri"/>
                <w:b w:val="false"/>
                <w:bCs w:val="false"/>
                <w:color w:val="1F2A33"/>
                <w:sz w:val="18"/>
                <w:szCs w:val="18"/>
              </w:rPr>
              <w:t xml:space="preserve">Time from discovery to first successful query: under one business day for pre-approved tiers, under three days for regulated tiers.</w:t>
            </w:r>
          </w:p>
          <w:p>
            <w:pPr>
              <w:spacing w:after="40" w:before="40" w:line="250"/>
              <w:jc w:val="left"/>
            </w:pPr>
            <w:r>
              <w:rPr>
                <w:rFonts w:ascii="Calibri" w:cs="Calibri" w:eastAsia="Calibri" w:hAnsi="Calibri"/>
                <w:b w:val="false"/>
                <w:bCs w:val="false"/>
                <w:color w:val="1F2A33"/>
                <w:sz w:val="18"/>
                <w:szCs w:val="18"/>
              </w:rPr>
              <w:t xml:space="preserve">Share of analytical questions answered by a catalogued agent rather than a human analyst: above 40% within four quarters.</w:t>
            </w:r>
          </w:p>
          <w:p>
            <w:pPr>
              <w:spacing w:after="40" w:before="40" w:line="250"/>
              <w:jc w:val="left"/>
            </w:pPr>
            <w:r>
              <w:rPr>
                <w:rFonts w:ascii="Calibri" w:cs="Calibri" w:eastAsia="Calibri" w:hAnsi="Calibri"/>
                <w:b w:val="false"/>
                <w:bCs w:val="false"/>
                <w:color w:val="1F2A33"/>
                <w:sz w:val="18"/>
                <w:szCs w:val="18"/>
              </w:rPr>
              <w:t xml:space="preserve">Share of new pipeline requests that intake identifies as duplicate supply and redirects to an existing product: above 25%.</w:t>
            </w:r>
          </w:p>
          <w:p>
            <w:pPr>
              <w:spacing w:after="40" w:before="40" w:line="250"/>
              <w:jc w:val="left"/>
            </w:pPr>
            <w:r>
              <w:rPr>
                <w:rFonts w:ascii="Calibri" w:cs="Calibri" w:eastAsia="Calibri" w:hAnsi="Calibri"/>
                <w:b w:val="false"/>
                <w:bCs w:val="false"/>
                <w:color w:val="1F2A33"/>
                <w:sz w:val="18"/>
                <w:szCs w:val="18"/>
              </w:rPr>
              <w:t xml:space="preserve">Every regulated data element consumed by an agent traceable to an approved entitlement grant and a logged purpose.</w:t>
            </w:r>
          </w:p>
          <w:p>
            <w:pPr>
              <w:spacing w:after="40" w:before="40" w:line="250"/>
              <w:jc w:val="left"/>
            </w:pPr>
            <w:r>
              <w:rPr>
                <w:rFonts w:ascii="Calibri" w:cs="Calibri" w:eastAsia="Calibri" w:hAnsi="Calibri"/>
                <w:b w:val="false"/>
                <w:bCs w:val="false"/>
                <w:color w:val="1F2A33"/>
                <w:sz w:val="18"/>
                <w:szCs w:val="18"/>
              </w:rPr>
              <w:t xml:space="preserve">Every published asset carrying a current quality score, a named owner, and a value case reviewed within the last two quarters.</w:t>
            </w:r>
          </w:p>
        </w:tc>
      </w:tr>
    </w:tbl>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 Product Vision &amp; Design Principles</w:t>
      </w:r>
    </w:p>
    <w:p>
      <w:pPr>
        <w:pStyle w:val="Heading2"/>
        <w:spacing w:after="120" w:before="280"/>
      </w:pPr>
      <w:r>
        <w:rPr>
          <w:rFonts w:ascii="Calibri" w:cs="Calibri" w:eastAsia="Calibri" w:hAnsi="Calibri"/>
          <w:b/>
          <w:bCs/>
          <w:color w:val="117A8B"/>
          <w:sz w:val="25"/>
          <w:szCs w:val="25"/>
        </w:rPr>
        <w:t xml:space="preserve">3.1 Vision Statement</w:t>
      </w:r>
    </w:p>
    <w:p>
      <w:pPr>
        <w:pBdr>
          <w:left w:val="single" w:color="B98A1B" w:sz="18" w:space="14"/>
        </w:pBdr>
        <w:spacing w:after="220" w:before="120"/>
        <w:ind w:left="300" w:right="300"/>
      </w:pPr>
      <w:r>
        <w:rPr>
          <w:rFonts w:ascii="Calibri" w:cs="Calibri" w:eastAsia="Calibri" w:hAnsi="Calibri"/>
          <w:i/>
          <w:iCs/>
          <w:color w:val="0B2C4D"/>
          <w:sz w:val="24"/>
          <w:szCs w:val="24"/>
        </w:rPr>
        <w:t xml:space="preserve">Any employee should be able to find a governed data product or AI agent for their question in under two minutes, see it answer that question live before committing to it, and be querying it themselves within a day — with every access, answer and dollar of value fully attributable.</w:t>
      </w:r>
    </w:p>
    <w:p>
      <w:pPr>
        <w:pStyle w:val="Heading2"/>
        <w:spacing w:after="120" w:before="280"/>
      </w:pPr>
      <w:r>
        <w:rPr>
          <w:rFonts w:ascii="Calibri" w:cs="Calibri" w:eastAsia="Calibri" w:hAnsi="Calibri"/>
          <w:b/>
          <w:bCs/>
          <w:color w:val="117A8B"/>
          <w:sz w:val="25"/>
          <w:szCs w:val="25"/>
        </w:rPr>
        <w:t xml:space="preserve">3.2 Design Principles</w:t>
      </w:r>
    </w:p>
    <w:p>
      <w:pPr>
        <w:spacing w:after="120" w:line="276"/>
        <w:jc w:val="left"/>
      </w:pPr>
      <w:r>
        <w:rPr>
          <w:rFonts w:ascii="Calibri" w:cs="Calibri" w:eastAsia="Calibri" w:hAnsi="Calibri"/>
          <w:b w:val="false"/>
          <w:bCs w:val="false"/>
          <w:i w:val="false"/>
          <w:iCs w:val="false"/>
          <w:color w:val="1F2A33"/>
          <w:sz w:val="21"/>
          <w:szCs w:val="21"/>
        </w:rPr>
        <w:t xml:space="preserve">These principles are enforced in code review and in the CI test suite. A pull request that violates one is rejected regardless of feature value.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504"/>
        <w:gridCol w:w="2621"/>
        <w:gridCol w:w="6955"/>
      </w:tblGrid>
      <w:tr>
        <w:trPr>
          <w:tblHeader/>
        </w:trPr>
        <w:tc>
          <w:tcPr>
            <w:tcW w:type="dxa" w:w="50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62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Principle</w:t>
            </w:r>
          </w:p>
        </w:tc>
        <w:tc>
          <w:tcPr>
            <w:tcW w:type="dxa" w:w="695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Enforcement</w:t>
            </w:r>
          </w:p>
        </w:tc>
      </w:tr>
      <w:tr>
        <w:tc>
          <w:tcPr>
            <w:tcW w:type="dxa" w:w="50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Everything scored is stored as data</w:t>
            </w:r>
          </w:p>
        </w:tc>
        <w:tc>
          <w:tcPr>
            <w:tcW w:type="dxa" w:w="69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rubrics, mesh similarity weights, value-scoring models, grade bands and SLA thresholds live in versioned configuration tables. CI test asserts no numeric threshold appears in application source.</w:t>
            </w:r>
          </w:p>
        </w:tc>
      </w:tr>
      <w:tr>
        <w:tc>
          <w:tcPr>
            <w:tcW w:type="dxa" w:w="50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2</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Metadata-only by default</w:t>
            </w:r>
          </w:p>
        </w:tc>
        <w:tc>
          <w:tcPr>
            <w:tcW w:type="dxa" w:w="69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Marketplace surfaces operate on metadata, contracts and aggregate telemetry. Row-level preview is a separate permission-gated module with per-dataset authorization and access logging.</w:t>
            </w:r>
          </w:p>
        </w:tc>
      </w:tr>
      <w:tr>
        <w:tc>
          <w:tcPr>
            <w:tcW w:type="dxa" w:w="50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3</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Tool-neutral source of truth</w:t>
            </w:r>
          </w:p>
        </w:tc>
        <w:tc>
          <w:tcPr>
            <w:tcW w:type="dxa" w:w="69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listing derives from a YAML product/agent manifest. Platform artifacts (Snowflake semantic views, dbt models, MCP tool definitions, LookML) are generated renderings, header-stamped as auto-generated.</w:t>
            </w:r>
          </w:p>
        </w:tc>
      </w:tr>
      <w:tr>
        <w:tc>
          <w:tcPr>
            <w:tcW w:type="dxa" w:w="50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4</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inference carries confidence and rationale</w:t>
            </w:r>
          </w:p>
        </w:tc>
        <w:tc>
          <w:tcPr>
            <w:tcW w:type="dxa" w:w="69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edges, duplicate-supply detection, value estimates and auto-generated descriptions store a confidence score and a rationale. Below 0.80 they are routed for human review before display.</w:t>
            </w:r>
          </w:p>
        </w:tc>
      </w:tr>
      <w:tr>
        <w:tc>
          <w:tcPr>
            <w:tcW w:type="dxa" w:w="50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5</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Human approval before promotion</w:t>
            </w:r>
          </w:p>
        </w:tc>
        <w:tc>
          <w:tcPr>
            <w:tcW w:type="dxa" w:w="69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 agent, data product, contract version or entitlement grant reaches production without a recorded human approval, actor identity and timestamp.</w:t>
            </w:r>
          </w:p>
        </w:tc>
      </w:tr>
      <w:tr>
        <w:tc>
          <w:tcPr>
            <w:tcW w:type="dxa" w:w="50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6</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Classification propagates mechanically</w:t>
            </w:r>
          </w:p>
        </w:tc>
        <w:tc>
          <w:tcPr>
            <w:tcW w:type="dxa" w:w="69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PII and sensitivity tags propagate from source through the product contract into agent tool scopes and retrieval filters. An agent cannot be published over a product carrying tags its scope does not cover.</w:t>
            </w:r>
          </w:p>
        </w:tc>
      </w:tr>
      <w:tr>
        <w:tc>
          <w:tcPr>
            <w:tcW w:type="dxa" w:w="50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7</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Immutable audit snapshots</w:t>
            </w:r>
          </w:p>
        </w:tc>
        <w:tc>
          <w:tcPr>
            <w:tcW w:type="dxa" w:w="69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published version of a product, agent, contract or score is an immutable, keyed snapshot. Historical listings are replayable exactly as a consumer saw them.</w:t>
            </w:r>
          </w:p>
        </w:tc>
      </w:tr>
      <w:tr>
        <w:tc>
          <w:tcPr>
            <w:tcW w:type="dxa" w:w="50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8</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Demo parity with production</w:t>
            </w:r>
          </w:p>
        </w:tc>
        <w:tc>
          <w:tcPr>
            <w:tcW w:type="dxa" w:w="69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demo tier runs the same code path as production against a synthetic dataset. There are no mocked answers, and demo mode is visibly labelled.</w:t>
            </w:r>
          </w:p>
        </w:tc>
      </w:tr>
    </w:tbl>
    <w:p>
      <w:pPr>
        <w:pStyle w:val="Heading2"/>
        <w:spacing w:after="120" w:before="280"/>
      </w:pPr>
      <w:r>
        <w:rPr>
          <w:rFonts w:ascii="Calibri" w:cs="Calibri" w:eastAsia="Calibri" w:hAnsi="Calibri"/>
          <w:b/>
          <w:bCs/>
          <w:color w:val="117A8B"/>
          <w:sz w:val="25"/>
          <w:szCs w:val="25"/>
        </w:rPr>
        <w:t xml:space="preserve">3.3 What This Product Is Not</w:t>
      </w:r>
    </w:p>
    <w:p>
      <w:pPr>
        <w:pStyle w:val="ListParagraph"/>
        <w:numPr>
          <w:ilvl w:val="0"/>
          <w:numId w:val="2"/>
        </w:numPr>
        <w:spacing w:after="70" w:line="268"/>
      </w:pPr>
      <w:r>
        <w:rPr>
          <w:rFonts w:ascii="Calibri" w:cs="Calibri" w:eastAsia="Calibri" w:hAnsi="Calibri"/>
          <w:color w:val="1F2A33"/>
          <w:sz w:val="21"/>
          <w:szCs w:val="21"/>
        </w:rPr>
        <w:t xml:space="preserve">Not a data catalog. It integrates with Collibra, Alation, Purview, Atlan, DataHub and Unity Catalog as evidence sources and pushes certified listings back to them.</w:t>
      </w:r>
    </w:p>
    <w:p>
      <w:pPr>
        <w:pStyle w:val="ListParagraph"/>
        <w:numPr>
          <w:ilvl w:val="0"/>
          <w:numId w:val="2"/>
        </w:numPr>
        <w:spacing w:after="70" w:line="268"/>
      </w:pPr>
      <w:r>
        <w:rPr>
          <w:rFonts w:ascii="Calibri" w:cs="Calibri" w:eastAsia="Calibri" w:hAnsi="Calibri"/>
          <w:color w:val="1F2A33"/>
          <w:sz w:val="21"/>
          <w:szCs w:val="21"/>
        </w:rPr>
        <w:t xml:space="preserve">Not an ETL or transformation tool. It publishes and governs the products that pipelines produce; it does not build the pipelines.</w:t>
      </w:r>
    </w:p>
    <w:p>
      <w:pPr>
        <w:pStyle w:val="ListParagraph"/>
        <w:numPr>
          <w:ilvl w:val="0"/>
          <w:numId w:val="2"/>
        </w:numPr>
        <w:spacing w:after="70" w:line="268"/>
      </w:pPr>
      <w:r>
        <w:rPr>
          <w:rFonts w:ascii="Calibri" w:cs="Calibri" w:eastAsia="Calibri" w:hAnsi="Calibri"/>
          <w:color w:val="1F2A33"/>
          <w:sz w:val="21"/>
          <w:szCs w:val="21"/>
        </w:rPr>
        <w:t xml:space="preserve">Not an agent development framework. Agents are authored in Cortex Agents, Bedrock, LangGraph or equivalent; the Marketplace catalogues, scopes, meters, observes and demonstrates them.</w:t>
      </w:r>
    </w:p>
    <w:p>
      <w:pPr>
        <w:pStyle w:val="ListParagraph"/>
        <w:numPr>
          <w:ilvl w:val="0"/>
          <w:numId w:val="2"/>
        </w:numPr>
        <w:spacing w:after="70" w:line="268"/>
      </w:pPr>
      <w:r>
        <w:rPr>
          <w:rFonts w:ascii="Calibri" w:cs="Calibri" w:eastAsia="Calibri" w:hAnsi="Calibri"/>
          <w:color w:val="1F2A33"/>
          <w:sz w:val="21"/>
          <w:szCs w:val="21"/>
        </w:rPr>
        <w:t xml:space="preserve">Not an identity provider. It orchestrates entitlement requests and provisions through the platform’s native RBAC and the enterprise IdP; it never becomes a shadow authorization store.</w:t>
      </w:r>
    </w:p>
    <w:p>
      <w:pPr>
        <w:pStyle w:val="Heading2"/>
        <w:spacing w:after="120" w:before="280"/>
      </w:pPr>
      <w:r>
        <w:rPr>
          <w:rFonts w:ascii="Calibri" w:cs="Calibri" w:eastAsia="Calibri" w:hAnsi="Calibri"/>
          <w:b/>
          <w:bCs/>
          <w:color w:val="117A8B"/>
          <w:sz w:val="25"/>
          <w:szCs w:val="25"/>
        </w:rPr>
        <w:t xml:space="preserve">3.4 Federated Operating Model</w:t>
      </w:r>
    </w:p>
    <w:p>
      <w:pPr>
        <w:spacing w:after="120" w:line="276"/>
        <w:jc w:val="left"/>
      </w:pPr>
      <w:r>
        <w:rPr>
          <w:rFonts w:ascii="Calibri" w:cs="Calibri" w:eastAsia="Calibri" w:hAnsi="Calibri"/>
          <w:b w:val="false"/>
          <w:bCs w:val="false"/>
          <w:i w:val="false"/>
          <w:iCs w:val="false"/>
          <w:color w:val="1F2A33"/>
          <w:sz w:val="21"/>
          <w:szCs w:val="21"/>
        </w:rPr>
        <w:t xml:space="preserve">A marketplace is an operating model before it is software. The platform assumes federated domain ownership: domains own supply, a central platform team owns the rails, and a governance forum owns the rules. Where an organisation does not yet operate this way, the platform makes the gap visible rather than hiding it — an asset with no accountable domain owner cannot be certified.</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613"/>
        <w:gridCol w:w="2218"/>
        <w:gridCol w:w="3427"/>
        <w:gridCol w:w="2822"/>
      </w:tblGrid>
      <w:tr>
        <w:trPr>
          <w:tblHeader/>
        </w:trPr>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Body</w:t>
            </w:r>
          </w:p>
        </w:tc>
        <w:tc>
          <w:tcPr>
            <w:tcW w:type="dxa" w:w="221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Owns</w:t>
            </w:r>
          </w:p>
        </w:tc>
        <w:tc>
          <w:tcPr>
            <w:tcW w:type="dxa" w:w="3427"/>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Decision rights</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Held accountable for</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Domain team</w:t>
            </w:r>
          </w:p>
        </w:tc>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Data products and agents in its domain</w:t>
            </w:r>
          </w:p>
        </w:tc>
        <w:tc>
          <w:tcPr>
            <w:tcW w:type="dxa" w:w="342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Contract content, schema evolution, enhancement backlog, access approval for its assets</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composite, contract conformance, adoption and value case of its assets</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Platform team</w:t>
            </w:r>
          </w:p>
        </w:tc>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marketplace, connectors, generators, workflow and observability rails</w:t>
            </w:r>
          </w:p>
        </w:tc>
        <w:tc>
          <w:tcPr>
            <w:tcW w:type="dxa" w:w="342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Canonical model, generator conventions, non-functional budgets, connector permission manifests</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Availability, request latency, provisioning correctness, platform cost per asset</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Governance forum</w:t>
            </w:r>
          </w:p>
        </w:tc>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Rubrics, taxonomies, certification standard, KPI register</w:t>
            </w:r>
          </w:p>
        </w:tc>
        <w:tc>
          <w:tcPr>
            <w:tcW w:type="dxa" w:w="342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Rubric versions and weights, certification criteria, purpose categories, sensitivity policy</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Consistency of scores across domains and the integrity of the KPI register</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Security &amp; privacy</w:t>
            </w:r>
          </w:p>
        </w:tc>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Entitlement policy and agent scope standards</w:t>
            </w:r>
          </w:p>
        </w:tc>
        <w:tc>
          <w:tcPr>
            <w:tcW w:type="dxa" w:w="342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Approval thresholds by tier, residency rules, agent autonomy ceilings</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Reconstructability of any access; zero unscoped agent identities</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Executive sponsor</w:t>
            </w:r>
          </w:p>
        </w:tc>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Portfolio investment</w:t>
            </w:r>
          </w:p>
        </w:tc>
        <w:tc>
          <w:tcPr>
            <w:tcW w:type="dxa" w:w="342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Funding, retirement decisions, demand prioritisation at portfolio level</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Portfolio net value and unmet-demand throughput</w:t>
            </w:r>
          </w:p>
        </w:tc>
      </w:tr>
    </w:tbl>
    <w:p>
      <w:pPr>
        <w:pStyle w:val="ListParagraph"/>
        <w:numPr>
          <w:ilvl w:val="0"/>
          <w:numId w:val="2"/>
        </w:numPr>
        <w:spacing w:after="70" w:line="268"/>
      </w:pPr>
      <w:r>
        <w:rPr>
          <w:rFonts w:ascii="Calibri" w:cs="Calibri" w:eastAsia="Calibri" w:hAnsi="Calibri"/>
          <w:b/>
          <w:bCs/>
          <w:color w:val="0B2C4D"/>
          <w:sz w:val="21"/>
          <w:szCs w:val="21"/>
        </w:rPr>
        <w:t xml:space="preserve">Rubric changes are a governance act, not a deploy.</w:t>
      </w:r>
      <w:r>
        <w:rPr>
          <w:rFonts w:ascii="Calibri" w:cs="Calibri" w:eastAsia="Calibri" w:hAnsi="Calibri"/>
          <w:color w:val="1F2A33"/>
          <w:sz w:val="21"/>
          <w:szCs w:val="21"/>
        </w:rPr>
        <w:t xml:space="preserve"> Weights live in versioned tables, but a new rubric version requires forum approval and re-scores the estate under the new version while preserving prior snapshots. Scores are never silently restated.</w:t>
      </w:r>
    </w:p>
    <w:p>
      <w:pPr>
        <w:pStyle w:val="ListParagraph"/>
        <w:numPr>
          <w:ilvl w:val="0"/>
          <w:numId w:val="2"/>
        </w:numPr>
        <w:spacing w:after="70" w:line="268"/>
      </w:pPr>
      <w:r>
        <w:rPr>
          <w:rFonts w:ascii="Calibri" w:cs="Calibri" w:eastAsia="Calibri" w:hAnsi="Calibri"/>
          <w:b/>
          <w:bCs/>
          <w:color w:val="0B2C4D"/>
          <w:sz w:val="21"/>
          <w:szCs w:val="21"/>
        </w:rPr>
        <w:t xml:space="preserve">Certification is federated, standardised centrally.</w:t>
      </w:r>
      <w:r>
        <w:rPr>
          <w:rFonts w:ascii="Calibri" w:cs="Calibri" w:eastAsia="Calibri" w:hAnsi="Calibri"/>
          <w:color w:val="1F2A33"/>
          <w:sz w:val="21"/>
          <w:szCs w:val="21"/>
        </w:rPr>
        <w:t xml:space="preserve"> Domain stewards certify; the criteria they certify against are a single central rubric. A domain cannot invent a softer bar for itself.</w:t>
      </w:r>
    </w:p>
    <w:p>
      <w:pPr>
        <w:pStyle w:val="ListParagraph"/>
        <w:numPr>
          <w:ilvl w:val="0"/>
          <w:numId w:val="2"/>
        </w:numPr>
        <w:spacing w:after="70" w:line="268"/>
      </w:pPr>
      <w:r>
        <w:rPr>
          <w:rFonts w:ascii="Calibri" w:cs="Calibri" w:eastAsia="Calibri" w:hAnsi="Calibri"/>
          <w:b/>
          <w:bCs/>
          <w:color w:val="0B2C4D"/>
          <w:sz w:val="21"/>
          <w:szCs w:val="21"/>
        </w:rPr>
        <w:t xml:space="preserve">The platform team does not own content.</w:t>
      </w:r>
      <w:r>
        <w:rPr>
          <w:rFonts w:ascii="Calibri" w:cs="Calibri" w:eastAsia="Calibri" w:hAnsi="Calibri"/>
          <w:color w:val="1F2A33"/>
          <w:sz w:val="21"/>
          <w:szCs w:val="21"/>
        </w:rPr>
        <w:t xml:space="preserve"> It owns the fact that content cannot be published without an owner, a contract, a limitation statement and a value case. Enforcement lives in the publish gate, not in a review meeting.</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4. Personas, Journeys &amp; Access Model</w:t>
      </w:r>
    </w:p>
    <w:p>
      <w:pPr>
        <w:pStyle w:val="Heading2"/>
        <w:spacing w:after="120" w:before="280"/>
      </w:pPr>
      <w:r>
        <w:rPr>
          <w:rFonts w:ascii="Calibri" w:cs="Calibri" w:eastAsia="Calibri" w:hAnsi="Calibri"/>
          <w:b/>
          <w:bCs/>
          <w:color w:val="117A8B"/>
          <w:sz w:val="25"/>
          <w:szCs w:val="25"/>
        </w:rPr>
        <w:t xml:space="preserve">4.1 Personas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714"/>
        <w:gridCol w:w="2621"/>
        <w:gridCol w:w="3024"/>
        <w:gridCol w:w="2721"/>
      </w:tblGrid>
      <w:tr>
        <w:trPr>
          <w:tblHeader/>
        </w:trPr>
        <w:tc>
          <w:tcPr>
            <w:tcW w:type="dxa" w:w="17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Persona</w:t>
            </w:r>
          </w:p>
        </w:tc>
        <w:tc>
          <w:tcPr>
            <w:tcW w:type="dxa" w:w="262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Primary goal</w:t>
            </w:r>
          </w:p>
        </w:tc>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Key surfaces</w:t>
            </w:r>
          </w:p>
        </w:tc>
        <w:tc>
          <w:tcPr>
            <w:tcW w:type="dxa" w:w="272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Success signal</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Business Consumer</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Answer a business question without writing SQL or waiting on an analyst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Landing page, catalog, agent demo console, access request</w:t>
            </w:r>
          </w:p>
        </w:tc>
        <w:tc>
          <w:tcPr>
            <w:tcW w:type="dxa" w:w="27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Question answered in-session; access granted same day</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Analyst / Scientist</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Find trustworthy, contract-backed inputs for a model or analysis</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Product detail, schema explorer, contract tab, endpoints, mesh</w:t>
            </w:r>
          </w:p>
        </w:tc>
        <w:tc>
          <w:tcPr>
            <w:tcW w:type="dxa" w:w="27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Reuses an existing product instead of building a pipeline</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Product Owner</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Grow adoption, defend investment, manage the roadmap of their product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Owner console, adoption analytics, enhancement backlog, observability</w:t>
            </w:r>
          </w:p>
        </w:tc>
        <w:tc>
          <w:tcPr>
            <w:tcW w:type="dxa" w:w="27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Adoption and value trends up; contract breaches at zero</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Owner</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Ship a safe, accurate, in-demand agent and prove its deflection value</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 studio, KPI coverage editor, demo curator, groundedness dashboard</w:t>
            </w:r>
          </w:p>
        </w:tc>
        <w:tc>
          <w:tcPr>
            <w:tcW w:type="dxa" w:w="27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Answer acceptance rate above target; deflection hours rising</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Steward</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Ensure classification, ownership and contract conformance across the domain</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Certification queue, low-confidence review queue, policy conformance view</w:t>
            </w:r>
          </w:p>
        </w:tc>
        <w:tc>
          <w:tcPr>
            <w:tcW w:type="dxa" w:w="27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Certification backlog cleared within SLA</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Platform / Domain Architect</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Reduce duplication, plan capacity, govern the mesh</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explorer, duplicate-supply report, cost analytics</w:t>
            </w:r>
          </w:p>
        </w:tc>
        <w:tc>
          <w:tcPr>
            <w:tcW w:type="dxa" w:w="27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Duplicate supply detected pre-build; mesh density improving</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Security &amp; Privacy Officer</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Prove that every agent and consumer access is scoped, purposed and auditable</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Entitlement register, purpose log, agent scope report, audit export</w:t>
            </w:r>
          </w:p>
        </w:tc>
        <w:tc>
          <w:tcPr>
            <w:tcW w:type="dxa" w:w="27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Complete access reconstruction for any answer on demand</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Executive Sponsor (CDO/CDAO)</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See portfolio value, adoption and unmet demand in one place</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Executive dashboard, value realization board, demand board</w:t>
            </w:r>
          </w:p>
        </w:tc>
        <w:tc>
          <w:tcPr>
            <w:tcW w:type="dxa" w:w="27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Portfolio value case defensible at budget review</w:t>
            </w:r>
          </w:p>
        </w:tc>
      </w:tr>
    </w:tbl>
    <w:p>
      <w:pPr>
        <w:pStyle w:val="Heading2"/>
        <w:spacing w:after="120" w:before="280"/>
      </w:pPr>
      <w:r>
        <w:rPr>
          <w:rFonts w:ascii="Calibri" w:cs="Calibri" w:eastAsia="Calibri" w:hAnsi="Calibri"/>
          <w:b/>
          <w:bCs/>
          <w:color w:val="117A8B"/>
          <w:sz w:val="25"/>
          <w:szCs w:val="25"/>
        </w:rPr>
        <w:t xml:space="preserve">4.2 The Signature Journey — Question to Query in One Day</w:t>
      </w:r>
    </w:p>
    <w:p>
      <w:pPr>
        <w:pStyle w:val="ListParagraph"/>
        <w:numPr>
          <w:ilvl w:val="0"/>
          <w:numId w:val="3"/>
        </w:numPr>
        <w:spacing w:after="70" w:line="268"/>
      </w:pPr>
      <w:r>
        <w:rPr>
          <w:rFonts w:ascii="Calibri" w:cs="Calibri" w:eastAsia="Calibri" w:hAnsi="Calibri"/>
          <w:b/>
          <w:bCs/>
          <w:color w:val="0B2C4D"/>
          <w:sz w:val="21"/>
          <w:szCs w:val="21"/>
        </w:rPr>
        <w:t xml:space="preserve">Arrive.</w:t>
      </w:r>
      <w:r>
        <w:rPr>
          <w:rFonts w:ascii="Calibri" w:cs="Calibri" w:eastAsia="Calibri" w:hAnsi="Calibri"/>
          <w:color w:val="1F2A33"/>
          <w:sz w:val="21"/>
          <w:szCs w:val="21"/>
        </w:rPr>
        <w:t xml:space="preserve"> A regional sales director lands on the front page and types "why is churn up in the Midwest" into the universal search bar. Search resolves across product names, KPI definitions, agent capability statements and glossary terms.</w:t>
      </w:r>
    </w:p>
    <w:p>
      <w:pPr>
        <w:pStyle w:val="ListParagraph"/>
        <w:numPr>
          <w:ilvl w:val="0"/>
          <w:numId w:val="3"/>
        </w:numPr>
        <w:spacing w:after="70" w:line="268"/>
      </w:pPr>
      <w:r>
        <w:rPr>
          <w:rFonts w:ascii="Calibri" w:cs="Calibri" w:eastAsia="Calibri" w:hAnsi="Calibri"/>
          <w:b/>
          <w:bCs/>
          <w:color w:val="0B2C4D"/>
          <w:sz w:val="21"/>
          <w:szCs w:val="21"/>
        </w:rPr>
        <w:t xml:space="preserve">Recognize.</w:t>
      </w:r>
      <w:r>
        <w:rPr>
          <w:rFonts w:ascii="Calibri" w:cs="Calibri" w:eastAsia="Calibri" w:hAnsi="Calibri"/>
          <w:color w:val="1F2A33"/>
          <w:sz w:val="21"/>
          <w:szCs w:val="21"/>
        </w:rPr>
        <w:t xml:space="preserve"> Results return the Subscriber Churn &amp; Retention 360 data product (quality 94, certified, 340 monthly consumers) and the Churn Sentinel Agent, ranked by semantic match against the KPI "churn rate" rather than by keyword.</w:t>
      </w:r>
    </w:p>
    <w:p>
      <w:pPr>
        <w:pStyle w:val="ListParagraph"/>
        <w:numPr>
          <w:ilvl w:val="0"/>
          <w:numId w:val="3"/>
        </w:numPr>
        <w:spacing w:after="70" w:line="268"/>
      </w:pPr>
      <w:r>
        <w:rPr>
          <w:rFonts w:ascii="Calibri" w:cs="Calibri" w:eastAsia="Calibri" w:hAnsi="Calibri"/>
          <w:b/>
          <w:bCs/>
          <w:color w:val="0B2C4D"/>
          <w:sz w:val="21"/>
          <w:szCs w:val="21"/>
        </w:rPr>
        <w:t xml:space="preserve">Try before requesting.</w:t>
      </w:r>
      <w:r>
        <w:rPr>
          <w:rFonts w:ascii="Calibri" w:cs="Calibri" w:eastAsia="Calibri" w:hAnsi="Calibri"/>
          <w:color w:val="1F2A33"/>
          <w:sz w:val="21"/>
          <w:szCs w:val="21"/>
        </w:rPr>
        <w:t xml:space="preserve"> The director opens the agent, plays scripted question 3 ("Which segments drove the churn increase last quarter?"), and sees a live answer with a chart, the KPI definition used, and citations to the underlying data product columns.</w:t>
      </w:r>
    </w:p>
    <w:p>
      <w:pPr>
        <w:pStyle w:val="ListParagraph"/>
        <w:numPr>
          <w:ilvl w:val="0"/>
          <w:numId w:val="3"/>
        </w:numPr>
        <w:spacing w:after="70" w:line="268"/>
      </w:pPr>
      <w:r>
        <w:rPr>
          <w:rFonts w:ascii="Calibri" w:cs="Calibri" w:eastAsia="Calibri" w:hAnsi="Calibri"/>
          <w:b/>
          <w:bCs/>
          <w:color w:val="0B2C4D"/>
          <w:sz w:val="21"/>
          <w:szCs w:val="21"/>
        </w:rPr>
        <w:t xml:space="preserve">Ask their own question.</w:t>
      </w:r>
      <w:r>
        <w:rPr>
          <w:rFonts w:ascii="Calibri" w:cs="Calibri" w:eastAsia="Calibri" w:hAnsi="Calibri"/>
          <w:color w:val="1F2A33"/>
          <w:sz w:val="21"/>
          <w:szCs w:val="21"/>
        </w:rPr>
        <w:t xml:space="preserve"> In demo tier, the agent answers against synthetic data and clearly labels it as such — enough to confirm fit without granting production access.</w:t>
      </w:r>
    </w:p>
    <w:p>
      <w:pPr>
        <w:pStyle w:val="ListParagraph"/>
        <w:numPr>
          <w:ilvl w:val="0"/>
          <w:numId w:val="3"/>
        </w:numPr>
        <w:spacing w:after="70" w:line="268"/>
      </w:pPr>
      <w:r>
        <w:rPr>
          <w:rFonts w:ascii="Calibri" w:cs="Calibri" w:eastAsia="Calibri" w:hAnsi="Calibri"/>
          <w:b/>
          <w:bCs/>
          <w:color w:val="0B2C4D"/>
          <w:sz w:val="21"/>
          <w:szCs w:val="21"/>
        </w:rPr>
        <w:t xml:space="preserve">Request access.</w:t>
      </w:r>
      <w:r>
        <w:rPr>
          <w:rFonts w:ascii="Calibri" w:cs="Calibri" w:eastAsia="Calibri" w:hAnsi="Calibri"/>
          <w:color w:val="1F2A33"/>
          <w:sz w:val="21"/>
          <w:szCs w:val="21"/>
        </w:rPr>
        <w:t xml:space="preserve"> One click opens a pre-filled request: assets, purpose, duration, sensitivity acknowledgement. Policy evaluation runs immediately and shows which approvals are required and the SLA clock.</w:t>
      </w:r>
    </w:p>
    <w:p>
      <w:pPr>
        <w:pStyle w:val="ListParagraph"/>
        <w:numPr>
          <w:ilvl w:val="0"/>
          <w:numId w:val="3"/>
        </w:numPr>
        <w:spacing w:after="70" w:line="268"/>
      </w:pPr>
      <w:r>
        <w:rPr>
          <w:rFonts w:ascii="Calibri" w:cs="Calibri" w:eastAsia="Calibri" w:hAnsi="Calibri"/>
          <w:b/>
          <w:bCs/>
          <w:color w:val="0B2C4D"/>
          <w:sz w:val="21"/>
          <w:szCs w:val="21"/>
        </w:rPr>
        <w:t xml:space="preserve">Approve and provision.</w:t>
      </w:r>
      <w:r>
        <w:rPr>
          <w:rFonts w:ascii="Calibri" w:cs="Calibri" w:eastAsia="Calibri" w:hAnsi="Calibri"/>
          <w:color w:val="1F2A33"/>
          <w:sz w:val="21"/>
          <w:szCs w:val="21"/>
        </w:rPr>
        <w:t xml:space="preserve"> The product owner approves in the console or by email action. Entitlements are provisioned mechanically to the platform role, the agent scope is extended, and the consumer is notified with a runbook.</w:t>
      </w:r>
    </w:p>
    <w:p>
      <w:pPr>
        <w:pStyle w:val="ListParagraph"/>
        <w:numPr>
          <w:ilvl w:val="0"/>
          <w:numId w:val="3"/>
        </w:numPr>
        <w:spacing w:after="70" w:line="268"/>
      </w:pPr>
      <w:r>
        <w:rPr>
          <w:rFonts w:ascii="Calibri" w:cs="Calibri" w:eastAsia="Calibri" w:hAnsi="Calibri"/>
          <w:b/>
          <w:bCs/>
          <w:color w:val="0B2C4D"/>
          <w:sz w:val="21"/>
          <w:szCs w:val="21"/>
        </w:rPr>
        <w:t xml:space="preserve">Consume and be counted.</w:t>
      </w:r>
      <w:r>
        <w:rPr>
          <w:rFonts w:ascii="Calibri" w:cs="Calibri" w:eastAsia="Calibri" w:hAnsi="Calibri"/>
          <w:color w:val="1F2A33"/>
          <w:sz w:val="21"/>
          <w:szCs w:val="21"/>
        </w:rPr>
        <w:t xml:space="preserve"> First query is logged against the product, attributed to the consumer and purpose, and rolled into adoption and value telemetry visible to the owner the next morning.</w:t>
      </w:r>
    </w:p>
    <w:p>
      <w:pPr>
        <w:pStyle w:val="Heading2"/>
        <w:spacing w:after="120" w:before="280"/>
      </w:pPr>
      <w:r>
        <w:rPr>
          <w:rFonts w:ascii="Calibri" w:cs="Calibri" w:eastAsia="Calibri" w:hAnsi="Calibri"/>
          <w:b/>
          <w:bCs/>
          <w:color w:val="117A8B"/>
          <w:sz w:val="25"/>
          <w:szCs w:val="25"/>
        </w:rPr>
        <w:t xml:space="preserve">4.3 Access Model</w:t>
      </w:r>
    </w:p>
    <w:p>
      <w:pPr>
        <w:spacing w:after="120" w:line="276"/>
        <w:jc w:val="left"/>
      </w:pPr>
      <w:r>
        <w:rPr>
          <w:rFonts w:ascii="Calibri" w:cs="Calibri" w:eastAsia="Calibri" w:hAnsi="Calibri"/>
          <w:b w:val="false"/>
          <w:bCs w:val="false"/>
          <w:i w:val="false"/>
          <w:iCs w:val="false"/>
          <w:color w:val="1F2A33"/>
          <w:sz w:val="21"/>
          <w:szCs w:val="21"/>
        </w:rPr>
        <w:t xml:space="preserve">Six roles, evaluated against asset sensitivity tier. Marketplace roles govern the marketplace; data access itself is always provisioned into the platform’s native RBAC.</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714"/>
        <w:gridCol w:w="1915"/>
        <w:gridCol w:w="1613"/>
        <w:gridCol w:w="1008"/>
        <w:gridCol w:w="1512"/>
        <w:gridCol w:w="1310"/>
        <w:gridCol w:w="1008"/>
      </w:tblGrid>
      <w:tr>
        <w:trPr>
          <w:tblHeader/>
        </w:trPr>
        <w:tc>
          <w:tcPr>
            <w:tcW w:type="dxa" w:w="17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Marketplace role</w:t>
            </w:r>
          </w:p>
        </w:tc>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Catalog browse</w:t>
            </w:r>
          </w:p>
        </w:tc>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Demo console</w:t>
            </w:r>
          </w:p>
        </w:tc>
        <w:tc>
          <w:tcPr>
            <w:tcW w:type="dxa" w:w="100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Request</w:t>
            </w:r>
          </w:p>
        </w:tc>
        <w:tc>
          <w:tcPr>
            <w:tcW w:type="dxa" w:w="151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Approve</w:t>
            </w:r>
          </w:p>
        </w:tc>
        <w:tc>
          <w:tcPr>
            <w:tcW w:type="dxa" w:w="131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Publish</w:t>
            </w:r>
          </w:p>
        </w:tc>
        <w:tc>
          <w:tcPr>
            <w:tcW w:type="dxa" w:w="100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Admin</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Viewer</w:t>
            </w:r>
          </w:p>
        </w:tc>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Public + internal tiers</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Demo tier only</w:t>
            </w:r>
          </w:p>
        </w:tc>
        <w:tc>
          <w:tcPr>
            <w:tcW w:type="dxa" w:w="100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Yes</w:t>
            </w:r>
          </w:p>
        </w:tc>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c>
          <w:tcPr>
            <w:tcW w:type="dxa" w:w="100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Consumer</w:t>
            </w:r>
          </w:p>
        </w:tc>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tiers (metadata)</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Demo + granted assets</w:t>
            </w:r>
          </w:p>
        </w:tc>
        <w:tc>
          <w:tcPr>
            <w:tcW w:type="dxa" w:w="100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Yes</w:t>
            </w:r>
          </w:p>
        </w:tc>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c>
          <w:tcPr>
            <w:tcW w:type="dxa" w:w="100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Owner</w:t>
            </w:r>
          </w:p>
        </w:tc>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tiers</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Own assets, full</w:t>
            </w:r>
          </w:p>
        </w:tc>
        <w:tc>
          <w:tcPr>
            <w:tcW w:type="dxa" w:w="100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Yes</w:t>
            </w:r>
          </w:p>
        </w:tc>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Own assets</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Own assets</w:t>
            </w:r>
          </w:p>
        </w:tc>
        <w:tc>
          <w:tcPr>
            <w:tcW w:type="dxa" w:w="100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Steward</w:t>
            </w:r>
          </w:p>
        </w:tc>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tiers</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Domain assets</w:t>
            </w:r>
          </w:p>
        </w:tc>
        <w:tc>
          <w:tcPr>
            <w:tcW w:type="dxa" w:w="100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Yes</w:t>
            </w:r>
          </w:p>
        </w:tc>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Domain certification</w:t>
            </w:r>
          </w:p>
        </w:tc>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Certify only</w:t>
            </w:r>
          </w:p>
        </w:tc>
        <w:tc>
          <w:tcPr>
            <w:tcW w:type="dxa" w:w="100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Architect</w:t>
            </w:r>
          </w:p>
        </w:tc>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tiers</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(read)</w:t>
            </w:r>
          </w:p>
        </w:tc>
        <w:tc>
          <w:tcPr>
            <w:tcW w:type="dxa" w:w="100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Yes</w:t>
            </w:r>
          </w:p>
        </w:tc>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&amp; intake triage</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w:t>
            </w:r>
          </w:p>
        </w:tc>
        <w:tc>
          <w:tcPr>
            <w:tcW w:type="dxa" w:w="100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config</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Administrator</w:t>
            </w:r>
          </w:p>
        </w:tc>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tiers</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w:t>
            </w:r>
          </w:p>
        </w:tc>
        <w:tc>
          <w:tcPr>
            <w:tcW w:type="dxa" w:w="100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Yes</w:t>
            </w:r>
          </w:p>
        </w:tc>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Break-glass</w:t>
            </w:r>
          </w:p>
        </w:tc>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w:t>
            </w:r>
          </w:p>
        </w:tc>
        <w:tc>
          <w:tcPr>
            <w:tcW w:type="dxa" w:w="100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Full</w:t>
            </w:r>
          </w:p>
        </w:tc>
      </w:tr>
    </w:tbl>
    <w:p>
      <w:pPr>
        <w:spacing w:after="120" w:line="276"/>
        <w:jc w:val="left"/>
      </w:pPr>
      <w:r>
        <w:rPr>
          <w:rFonts w:ascii="Calibri" w:cs="Calibri" w:eastAsia="Calibri" w:hAnsi="Calibri"/>
          <w:b w:val="false"/>
          <w:bCs w:val="false"/>
          <w:i w:val="false"/>
          <w:iCs w:val="false"/>
          <w:color w:val="1F2A33"/>
          <w:sz w:val="21"/>
          <w:szCs w:val="21"/>
        </w:rPr>
        <w:t xml:space="preserve">Sensitivity tiers are Public, Internal, Confidential and Restricted. Restricted assets never render sample values, never appear in demo tier with real data, and always require both owner and privacy approval. The tier is inherited from the highest classification present in the product contract and cannot be lowered in the marketplace.</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5. Information Architecture &amp; Navigation</w:t>
      </w:r>
    </w:p>
    <w:p>
      <w:pPr>
        <w:pStyle w:val="Heading2"/>
        <w:spacing w:after="120" w:before="280"/>
      </w:pPr>
      <w:r>
        <w:rPr>
          <w:rFonts w:ascii="Calibri" w:cs="Calibri" w:eastAsia="Calibri" w:hAnsi="Calibri"/>
          <w:b/>
          <w:bCs/>
          <w:color w:val="117A8B"/>
          <w:sz w:val="25"/>
          <w:szCs w:val="25"/>
        </w:rPr>
        <w:t xml:space="preserve">5.1 Top-Level Structure</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                          Landing experience (unauthenticated + personalized)</w:t>
            </w:r>
          </w:p>
          <w:p>
            <w:pPr>
              <w:spacing w:after="0" w:line="240"/>
            </w:pPr>
            <w:r>
              <w:rPr>
                <w:rFonts w:ascii="Consolas" w:cs="Consolas" w:eastAsia="Consolas" w:hAnsi="Consolas"/>
                <w:color w:val="16323F"/>
                <w:sz w:val="16"/>
                <w:szCs w:val="16"/>
              </w:rPr>
              <w:t xml:space="preserve">/discover                  Universal search across products, agents, KPIs, glossary</w:t>
            </w:r>
          </w:p>
          <w:p>
            <w:pPr>
              <w:spacing w:after="0" w:line="240"/>
            </w:pPr>
            <w:r>
              <w:rPr>
                <w:rFonts w:ascii="Consolas" w:cs="Consolas" w:eastAsia="Consolas" w:hAnsi="Consolas"/>
                <w:color w:val="16323F"/>
                <w:sz w:val="16"/>
                <w:szCs w:val="16"/>
              </w:rPr>
              <w:t xml:space="preserve">/data-products             Catalog: filter, facet, compare</w:t>
            </w:r>
          </w:p>
          <w:p>
            <w:pPr>
              <w:spacing w:after="0" w:line="240"/>
            </w:pPr>
            <w:r>
              <w:rPr>
                <w:rFonts w:ascii="Consolas" w:cs="Consolas" w:eastAsia="Consolas" w:hAnsi="Consolas"/>
                <w:color w:val="16323F"/>
                <w:sz w:val="16"/>
                <w:szCs w:val="16"/>
              </w:rPr>
              <w:t xml:space="preserve">/data-products/:id         Detail — 8 tabs (Overview, Schema, Quality, Contract,</w:t>
            </w:r>
          </w:p>
          <w:p>
            <w:pPr>
              <w:spacing w:after="0" w:line="240"/>
            </w:pPr>
            <w:r>
              <w:rPr>
                <w:rFonts w:ascii="Consolas" w:cs="Consolas" w:eastAsia="Consolas" w:hAnsi="Consolas"/>
                <w:color w:val="16323F"/>
                <w:sz w:val="16"/>
                <w:szCs w:val="16"/>
              </w:rPr>
              <w:t xml:space="preserve">                           Endpoints, Lineage &amp; Mesh, Consumption, Value)</w:t>
            </w:r>
          </w:p>
          <w:p>
            <w:pPr>
              <w:spacing w:after="0" w:line="240"/>
            </w:pPr>
            <w:r>
              <w:rPr>
                <w:rFonts w:ascii="Consolas" w:cs="Consolas" w:eastAsia="Consolas" w:hAnsi="Consolas"/>
                <w:color w:val="16323F"/>
                <w:sz w:val="16"/>
                <w:szCs w:val="16"/>
              </w:rPr>
              <w:t xml:space="preserve">/agents                    Agent catalog: filter by domain, KPI, data product</w:t>
            </w:r>
          </w:p>
          <w:p>
            <w:pPr>
              <w:spacing w:after="0" w:line="240"/>
            </w:pPr>
            <w:r>
              <w:rPr>
                <w:rFonts w:ascii="Consolas" w:cs="Consolas" w:eastAsia="Consolas" w:hAnsi="Consolas"/>
                <w:color w:val="16323F"/>
                <w:sz w:val="16"/>
                <w:szCs w:val="16"/>
              </w:rPr>
              <w:t xml:space="preserve">/agents/:id                Detail — 7 tabs (Overview, Capabilities, Demo, Data</w:t>
            </w:r>
          </w:p>
          <w:p>
            <w:pPr>
              <w:spacing w:after="0" w:line="240"/>
            </w:pPr>
            <w:r>
              <w:rPr>
                <w:rFonts w:ascii="Consolas" w:cs="Consolas" w:eastAsia="Consolas" w:hAnsi="Consolas"/>
                <w:color w:val="16323F"/>
                <w:sz w:val="16"/>
                <w:szCs w:val="16"/>
              </w:rPr>
              <w:t xml:space="preserve">                           Products, Safety &amp; Scope, Observability, Value)</w:t>
            </w:r>
          </w:p>
          <w:p>
            <w:pPr>
              <w:spacing w:after="0" w:line="240"/>
            </w:pPr>
            <w:r>
              <w:rPr>
                <w:rFonts w:ascii="Consolas" w:cs="Consolas" w:eastAsia="Consolas" w:hAnsi="Consolas"/>
                <w:color w:val="16323F"/>
                <w:sz w:val="16"/>
                <w:szCs w:val="16"/>
              </w:rPr>
              <w:t xml:space="preserve">/agents/:id/demo           Full-screen live demo console</w:t>
            </w:r>
          </w:p>
          <w:p>
            <w:pPr>
              <w:spacing w:after="0" w:line="240"/>
            </w:pPr>
            <w:r>
              <w:rPr>
                <w:rFonts w:ascii="Consolas" w:cs="Consolas" w:eastAsia="Consolas" w:hAnsi="Consolas"/>
                <w:color w:val="16323F"/>
                <w:sz w:val="16"/>
                <w:szCs w:val="16"/>
              </w:rPr>
              <w:t xml:space="preserve">/mesh/data                 Data product mesh explorer</w:t>
            </w:r>
          </w:p>
          <w:p>
            <w:pPr>
              <w:spacing w:after="0" w:line="240"/>
            </w:pPr>
            <w:r>
              <w:rPr>
                <w:rFonts w:ascii="Consolas" w:cs="Consolas" w:eastAsia="Consolas" w:hAnsi="Consolas"/>
                <w:color w:val="16323F"/>
                <w:sz w:val="16"/>
                <w:szCs w:val="16"/>
              </w:rPr>
              <w:t xml:space="preserve">/mesh/agents               Agent mesh explorer</w:t>
            </w:r>
          </w:p>
          <w:p>
            <w:pPr>
              <w:spacing w:after="0" w:line="240"/>
            </w:pPr>
            <w:r>
              <w:rPr>
                <w:rFonts w:ascii="Consolas" w:cs="Consolas" w:eastAsia="Consolas" w:hAnsi="Consolas"/>
                <w:color w:val="16323F"/>
                <w:sz w:val="16"/>
                <w:szCs w:val="16"/>
              </w:rPr>
              <w:t xml:space="preserve">/requests                  My requests · Approvals queue · SLA board</w:t>
            </w:r>
          </w:p>
          <w:p>
            <w:pPr>
              <w:spacing w:after="0" w:line="240"/>
            </w:pPr>
            <w:r>
              <w:rPr>
                <w:rFonts w:ascii="Consolas" w:cs="Consolas" w:eastAsia="Consolas" w:hAnsi="Consolas"/>
                <w:color w:val="16323F"/>
                <w:sz w:val="16"/>
                <w:szCs w:val="16"/>
              </w:rPr>
              <w:t xml:space="preserve">/requests/new/access       Access request</w:t>
            </w:r>
          </w:p>
          <w:p>
            <w:pPr>
              <w:spacing w:after="0" w:line="240"/>
            </w:pPr>
            <w:r>
              <w:rPr>
                <w:rFonts w:ascii="Consolas" w:cs="Consolas" w:eastAsia="Consolas" w:hAnsi="Consolas"/>
                <w:color w:val="16323F"/>
                <w:sz w:val="16"/>
                <w:szCs w:val="16"/>
              </w:rPr>
              <w:t xml:space="preserve">/requests/new/enhancement  Enhancement request</w:t>
            </w:r>
          </w:p>
          <w:p>
            <w:pPr>
              <w:spacing w:after="0" w:line="240"/>
            </w:pPr>
            <w:r>
              <w:rPr>
                <w:rFonts w:ascii="Consolas" w:cs="Consolas" w:eastAsia="Consolas" w:hAnsi="Consolas"/>
                <w:color w:val="16323F"/>
                <w:sz w:val="16"/>
                <w:szCs w:val="16"/>
              </w:rPr>
              <w:t xml:space="preserve">/requests/new/supply       New data product / agent demand intake</w:t>
            </w:r>
          </w:p>
          <w:p>
            <w:pPr>
              <w:spacing w:after="0" w:line="240"/>
            </w:pPr>
            <w:r>
              <w:rPr>
                <w:rFonts w:ascii="Consolas" w:cs="Consolas" w:eastAsia="Consolas" w:hAnsi="Consolas"/>
                <w:color w:val="16323F"/>
                <w:sz w:val="16"/>
                <w:szCs w:val="16"/>
              </w:rPr>
              <w:t xml:space="preserve">/demand                    Public demand board with voting and clustering</w:t>
            </w:r>
          </w:p>
          <w:p>
            <w:pPr>
              <w:spacing w:after="0" w:line="240"/>
            </w:pPr>
            <w:r>
              <w:rPr>
                <w:rFonts w:ascii="Consolas" w:cs="Consolas" w:eastAsia="Consolas" w:hAnsi="Consolas"/>
                <w:color w:val="16323F"/>
                <w:sz w:val="16"/>
                <w:szCs w:val="16"/>
              </w:rPr>
              <w:t xml:space="preserve">/observability             Health plane for products and agents</w:t>
            </w:r>
          </w:p>
          <w:p>
            <w:pPr>
              <w:spacing w:after="0" w:line="240"/>
            </w:pPr>
            <w:r>
              <w:rPr>
                <w:rFonts w:ascii="Consolas" w:cs="Consolas" w:eastAsia="Consolas" w:hAnsi="Consolas"/>
                <w:color w:val="16323F"/>
                <w:sz w:val="16"/>
                <w:szCs w:val="16"/>
              </w:rPr>
              <w:t xml:space="preserve">/academy                   Learning paths, certifications, runbooks</w:t>
            </w:r>
          </w:p>
          <w:p>
            <w:pPr>
              <w:spacing w:after="0" w:line="240"/>
            </w:pPr>
            <w:r>
              <w:rPr>
                <w:rFonts w:ascii="Consolas" w:cs="Consolas" w:eastAsia="Consolas" w:hAnsi="Consolas"/>
                <w:color w:val="16323F"/>
                <w:sz w:val="16"/>
                <w:szCs w:val="16"/>
              </w:rPr>
              <w:t xml:space="preserve">/console/owner             Owner workspace: adoption, backlog, contract, incidents</w:t>
            </w:r>
          </w:p>
          <w:p>
            <w:pPr>
              <w:spacing w:after="0" w:line="240"/>
            </w:pPr>
            <w:r>
              <w:rPr>
                <w:rFonts w:ascii="Consolas" w:cs="Consolas" w:eastAsia="Consolas" w:hAnsi="Consolas"/>
                <w:color w:val="16323F"/>
                <w:sz w:val="16"/>
                <w:szCs w:val="16"/>
              </w:rPr>
              <w:t xml:space="preserve">/console/steward           Certification and low-confidence review queues</w:t>
            </w:r>
          </w:p>
          <w:p>
            <w:pPr>
              <w:spacing w:after="0" w:line="240"/>
            </w:pPr>
            <w:r>
              <w:rPr>
                <w:rFonts w:ascii="Consolas" w:cs="Consolas" w:eastAsia="Consolas" w:hAnsi="Consolas"/>
                <w:color w:val="16323F"/>
                <w:sz w:val="16"/>
                <w:szCs w:val="16"/>
              </w:rPr>
              <w:t xml:space="preserve">/admin                     Rubrics, weights, taxonomies, connectors, tenancy</w:t>
            </w:r>
          </w:p>
        </w:tc>
      </w:tr>
    </w:tbl>
    <w:p>
      <w:pPr>
        <w:pStyle w:val="Heading2"/>
        <w:spacing w:after="120" w:before="280"/>
      </w:pPr>
      <w:r>
        <w:rPr>
          <w:rFonts w:ascii="Calibri" w:cs="Calibri" w:eastAsia="Calibri" w:hAnsi="Calibri"/>
          <w:b/>
          <w:bCs/>
          <w:color w:val="117A8B"/>
          <w:sz w:val="25"/>
          <w:szCs w:val="25"/>
        </w:rPr>
        <w:t xml:space="preserve">5.2 Global Navigation</w:t>
      </w:r>
    </w:p>
    <w:p>
      <w:pPr>
        <w:pStyle w:val="ListParagraph"/>
        <w:numPr>
          <w:ilvl w:val="0"/>
          <w:numId w:val="2"/>
        </w:numPr>
        <w:spacing w:after="70" w:line="268"/>
      </w:pPr>
      <w:r>
        <w:rPr>
          <w:rFonts w:ascii="Calibri" w:cs="Calibri" w:eastAsia="Calibri" w:hAnsi="Calibri"/>
          <w:b/>
          <w:bCs/>
          <w:color w:val="0B2C4D"/>
          <w:sz w:val="21"/>
          <w:szCs w:val="21"/>
        </w:rPr>
        <w:t xml:space="preserve">Persistent header</w:t>
      </w:r>
      <w:r>
        <w:rPr>
          <w:rFonts w:ascii="Calibri" w:cs="Calibri" w:eastAsia="Calibri" w:hAnsi="Calibri"/>
          <w:color w:val="1F2A33"/>
          <w:sz w:val="21"/>
          <w:szCs w:val="21"/>
        </w:rPr>
        <w:t xml:space="preserve"> — logo, universal search (Cmd/Ctrl-K), primary nav (Discover · Data Products · Agents · Mesh · Observability · Academy), request counter, notifications, avatar menu.</w:t>
      </w:r>
    </w:p>
    <w:p>
      <w:pPr>
        <w:pStyle w:val="ListParagraph"/>
        <w:numPr>
          <w:ilvl w:val="0"/>
          <w:numId w:val="2"/>
        </w:numPr>
        <w:spacing w:after="70" w:line="268"/>
      </w:pPr>
      <w:r>
        <w:rPr>
          <w:rFonts w:ascii="Calibri" w:cs="Calibri" w:eastAsia="Calibri" w:hAnsi="Calibri"/>
          <w:b/>
          <w:bCs/>
          <w:color w:val="0B2C4D"/>
          <w:sz w:val="21"/>
          <w:szCs w:val="21"/>
        </w:rPr>
        <w:t xml:space="preserve">Universal search</w:t>
      </w:r>
      <w:r>
        <w:rPr>
          <w:rFonts w:ascii="Calibri" w:cs="Calibri" w:eastAsia="Calibri" w:hAnsi="Calibri"/>
          <w:color w:val="1F2A33"/>
          <w:sz w:val="21"/>
          <w:szCs w:val="21"/>
        </w:rPr>
        <w:t xml:space="preserve"> is the primary navigation instrument. It searches four indexes simultaneously — asset names and descriptions, certified KPI definitions, agent capability statements, and business glossary terms — and returns typed, grouped results with inline quality and adoption badges.</w:t>
      </w:r>
    </w:p>
    <w:p>
      <w:pPr>
        <w:pStyle w:val="ListParagraph"/>
        <w:numPr>
          <w:ilvl w:val="0"/>
          <w:numId w:val="2"/>
        </w:numPr>
        <w:spacing w:after="70" w:line="268"/>
      </w:pPr>
      <w:r>
        <w:rPr>
          <w:rFonts w:ascii="Calibri" w:cs="Calibri" w:eastAsia="Calibri" w:hAnsi="Calibri"/>
          <w:b/>
          <w:bCs/>
          <w:color w:val="0B2C4D"/>
          <w:sz w:val="21"/>
          <w:szCs w:val="21"/>
        </w:rPr>
        <w:t xml:space="preserve">Breadcrumbs</w:t>
      </w:r>
      <w:r>
        <w:rPr>
          <w:rFonts w:ascii="Calibri" w:cs="Calibri" w:eastAsia="Calibri" w:hAnsi="Calibri"/>
          <w:color w:val="1F2A33"/>
          <w:sz w:val="21"/>
          <w:szCs w:val="21"/>
        </w:rPr>
        <w:t xml:space="preserve"> on every detail page reflect the domain taxonomy: Industry › Domain › Sub-domain › Asset.</w:t>
      </w:r>
    </w:p>
    <w:p>
      <w:pPr>
        <w:pStyle w:val="ListParagraph"/>
        <w:numPr>
          <w:ilvl w:val="0"/>
          <w:numId w:val="2"/>
        </w:numPr>
        <w:spacing w:after="70" w:line="268"/>
      </w:pPr>
      <w:r>
        <w:rPr>
          <w:rFonts w:ascii="Calibri" w:cs="Calibri" w:eastAsia="Calibri" w:hAnsi="Calibri"/>
          <w:b/>
          <w:bCs/>
          <w:color w:val="0B2C4D"/>
          <w:sz w:val="21"/>
          <w:szCs w:val="21"/>
        </w:rPr>
        <w:t xml:space="preserve">Contextual right rail</w:t>
      </w:r>
      <w:r>
        <w:rPr>
          <w:rFonts w:ascii="Calibri" w:cs="Calibri" w:eastAsia="Calibri" w:hAnsi="Calibri"/>
          <w:color w:val="1F2A33"/>
          <w:sz w:val="21"/>
          <w:szCs w:val="21"/>
        </w:rPr>
        <w:t xml:space="preserve"> on detail pages carries the persistent action stack: Request Access, Try in Demo, Request Enhancement, Add to Comparison, Subscribe to Changes, Copy Endpoint.</w:t>
      </w:r>
    </w:p>
    <w:p>
      <w:pPr>
        <w:pStyle w:val="Heading2"/>
        <w:spacing w:after="120" w:before="280"/>
      </w:pPr>
      <w:r>
        <w:rPr>
          <w:rFonts w:ascii="Calibri" w:cs="Calibri" w:eastAsia="Calibri" w:hAnsi="Calibri"/>
          <w:b/>
          <w:bCs/>
          <w:color w:val="117A8B"/>
          <w:sz w:val="25"/>
          <w:szCs w:val="25"/>
        </w:rPr>
        <w:t xml:space="preserve">5.3 Taxonomy</w:t>
      </w:r>
    </w:p>
    <w:p>
      <w:pPr>
        <w:spacing w:after="120" w:line="276"/>
        <w:jc w:val="left"/>
      </w:pPr>
      <w:r>
        <w:rPr>
          <w:rFonts w:ascii="Calibri" w:cs="Calibri" w:eastAsia="Calibri" w:hAnsi="Calibri"/>
          <w:b w:val="false"/>
          <w:bCs w:val="false"/>
          <w:i w:val="false"/>
          <w:iCs w:val="false"/>
          <w:color w:val="1F2A33"/>
          <w:sz w:val="21"/>
          <w:szCs w:val="21"/>
        </w:rPr>
        <w:t xml:space="preserve">Three orthogonal taxonomies classify every asset. All three are stored as versioned reference data and are editable in /admin without a release.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613"/>
        <w:gridCol w:w="5846"/>
        <w:gridCol w:w="2621"/>
      </w:tblGrid>
      <w:tr>
        <w:trPr>
          <w:tblHeader/>
        </w:trPr>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Taxonomy</w:t>
            </w:r>
          </w:p>
        </w:tc>
        <w:tc>
          <w:tcPr>
            <w:tcW w:type="dxa" w:w="584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Values</w:t>
            </w:r>
          </w:p>
        </w:tc>
        <w:tc>
          <w:tcPr>
            <w:tcW w:type="dxa" w:w="262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Purpose</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Industry</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Telecommunications · Technology &amp; Software · Banking &amp; Capital Markets · Insurance · Healthcare &amp; Life Sciences · Retail &amp; Consumer · Transportation &amp; Logistics · Utilities &amp; Energy · Manufacturing · Public Sector · Media &amp; Entertainment · Hospitality &amp; Travel</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Vertical filter and demo-persona switching</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Business domain</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Customer · Product · Finance · Risk &amp; Compliance · Operations · Supply Chain · Workforce · Marketing · Network &amp; Asset · Clinical</w:t>
            </w:r>
          </w:p>
        </w:tc>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clustering and ownership alignment</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product archetype</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Source-aligned · Aggregate · Consumer-aligned · Feature · Document corpus · Reference / master data</w:t>
            </w:r>
          </w:p>
        </w:tc>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Determines applicable quality dimensions and contract template</w:t>
            </w:r>
          </w:p>
        </w:tc>
      </w:tr>
    </w:tbl>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6. Landing Experience — Front Page Design Specification</w:t>
      </w:r>
    </w:p>
    <w:p>
      <w:pPr>
        <w:spacing w:after="120" w:line="276"/>
        <w:jc w:val="left"/>
      </w:pPr>
      <w:r>
        <w:rPr>
          <w:rFonts w:ascii="Calibri" w:cs="Calibri" w:eastAsia="Calibri" w:hAnsi="Calibri"/>
          <w:b w:val="false"/>
          <w:bCs w:val="false"/>
          <w:i w:val="false"/>
          <w:iCs w:val="false"/>
          <w:color w:val="1F2A33"/>
          <w:sz w:val="21"/>
          <w:szCs w:val="21"/>
        </w:rPr>
        <w:t xml:space="preserve">The front page has one job: convince a first-time visitor within eight seconds that this marketplace contains something they need and that it is trustworthy. It is the primary sales surface in a client demonstration, so it is specified here at pixel-intent level.</w:t>
      </w:r>
    </w:p>
    <w:p>
      <w:pPr>
        <w:pStyle w:val="Heading2"/>
        <w:spacing w:after="120" w:before="280"/>
      </w:pPr>
      <w:r>
        <w:rPr>
          <w:rFonts w:ascii="Calibri" w:cs="Calibri" w:eastAsia="Calibri" w:hAnsi="Calibri"/>
          <w:b/>
          <w:bCs/>
          <w:color w:val="117A8B"/>
          <w:sz w:val="25"/>
          <w:szCs w:val="25"/>
        </w:rPr>
        <w:t xml:space="preserve">6.1 Visual System</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512"/>
        <w:gridCol w:w="4536"/>
        <w:gridCol w:w="4032"/>
      </w:tblGrid>
      <w:tr>
        <w:trPr>
          <w:tblHeader/>
        </w:trPr>
        <w:tc>
          <w:tcPr>
            <w:tcW w:type="dxa" w:w="151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Token</w:t>
            </w:r>
          </w:p>
        </w:tc>
        <w:tc>
          <w:tcPr>
            <w:tcW w:type="dxa" w:w="453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Value</w:t>
            </w:r>
          </w:p>
        </w:tc>
        <w:tc>
          <w:tcPr>
            <w:tcW w:type="dxa" w:w="403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Applied to</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Deep Navy</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#0B2C4D</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Hero background base, headings, primary text</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Teal</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#117A8B</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Accent gradient stop, section headers, active states, links</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Signal Gold</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#B98A1B</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Primary CTA, certification marks, emphasis rules</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Surface</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#FFFFFF / #F5F9FA</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Cards, page background, alternating table rows</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Ink / Muted</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#1F2A33 / #4A5C68</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Body copy, secondary metadata</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Status</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Green #1E7F4F · Amber #B57614 · Red #A62828</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bands, SLA state, incident severity</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Ocean gradient</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linear-gradient(135deg, #0B2C4D 0%, #117A8B 62%, #1AA3A3 100%)</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Hero canvas, mesh node glow, empty-state illustrations</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Type</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Display: Inter Tight 600/700 · Body: Inter 400/500 · Mono: JetBrains Mono</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Hero 56/64px, H1 40px, H2 28px, body 16px, caption 13px</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Geometry</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Radius 12px cards / 8px controls · Shadow 0 1px 2px + 0 8px 24px rgba(11,44,77,.08) · 8px spacing grid</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surfaces</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Motion</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160ms ease-out hover, 320ms card entrance, 600ms mesh settle; all suppressed under prefers-reduced-motion</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Interactive elements</w:t>
            </w:r>
          </w:p>
        </w:tc>
      </w:tr>
    </w:tbl>
    <w:p>
      <w:pPr>
        <w:pStyle w:val="Heading2"/>
        <w:spacing w:after="120" w:before="280"/>
      </w:pPr>
      <w:r>
        <w:rPr>
          <w:rFonts w:ascii="Calibri" w:cs="Calibri" w:eastAsia="Calibri" w:hAnsi="Calibri"/>
          <w:b/>
          <w:bCs/>
          <w:color w:val="117A8B"/>
          <w:sz w:val="25"/>
          <w:szCs w:val="25"/>
        </w:rPr>
        <w:t xml:space="preserve">6.2 Page Composition — Ten Bands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403"/>
        <w:gridCol w:w="1613"/>
        <w:gridCol w:w="8064"/>
      </w:tblGrid>
      <w:tr>
        <w:trPr>
          <w:tblHeader/>
        </w:trPr>
        <w:tc>
          <w:tcPr>
            <w:tcW w:type="dxa" w:w="40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Band</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Content specification</w:t>
            </w:r>
          </w:p>
        </w:tc>
      </w:tr>
      <w:tr>
        <w:tc>
          <w:tcPr>
            <w:tcW w:type="dxa" w:w="40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Hero</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Ocean-gradient canvas with a slowly animating mesh constellation (nodes = data products, edges = shared sources) rendered at 12% opacity behind the copy. Headline: "Every governed data product and AI agent in the enterprise. One shelf." Sub-headline names the value: find it, watch it answer, request it, use it today. Centre-stage universal search bar with rotating placeholder examples drawn from the live catalog. Two CTAs: Browse the catalog (gold, filled) and Watch an agent answer (ghost).</w:t>
            </w:r>
          </w:p>
        </w:tc>
      </w:tr>
      <w:tr>
        <w:tc>
          <w:tcPr>
            <w:tcW w:type="dxa" w:w="40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2</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Trust strip</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Four live counters read from the platform, not hardcoded: data products published, AI agents live, certified KPIs, questions answered this month. Each animates on scroll and links to the corresponding filtered view.</w:t>
            </w:r>
          </w:p>
        </w:tc>
      </w:tr>
      <w:tr>
        <w:tc>
          <w:tcPr>
            <w:tcW w:type="dxa" w:w="40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3</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Industry selector</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Horizontally scrollable row of 12 industry tiles with icon, product count and agent count. Selecting a tile re-renders bands 4–6 for that vertical — this is the demo-persona switch used to tailor a client walkthrough in one click.</w:t>
            </w:r>
          </w:p>
        </w:tc>
      </w:tr>
      <w:tr>
        <w:tc>
          <w:tcPr>
            <w:tcW w:type="dxa" w:w="40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4</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Featured data products</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Three-across card grid, six cards. Each card: name, domain chip, one-line purpose, quality score ring, freshness pill, consumer count, certification mark, three most-used KPIs. Cards are selected by a ranking function (adoption velocity × quality × recency) stored as rubric data.</w:t>
            </w:r>
          </w:p>
        </w:tc>
      </w:tr>
      <w:tr>
        <w:tc>
          <w:tcPr>
            <w:tcW w:type="dxa" w:w="40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5</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Meet the agents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Carousel of agent cards, each with avatar glyph, capability statement, the data products it runs on, and a "Try a question" button that opens the demo console inline without leaving the page. This band is the conversion engine of the front page.</w:t>
            </w:r>
          </w:p>
        </w:tc>
      </w:tr>
      <w:tr>
        <w:tc>
          <w:tcPr>
            <w:tcW w:type="dxa" w:w="40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6</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Live answer theatre</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single embedded demo panel that auto-plays one scripted exchange (typed question → streaming answer → chart → citations) on a 20-second loop, with controls to pause and to choose a different question. Demonstrates capability without requiring a click.</w:t>
            </w:r>
          </w:p>
        </w:tc>
      </w:tr>
      <w:tr>
        <w:tc>
          <w:tcPr>
            <w:tcW w:type="dxa" w:w="40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7</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How it works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Four-step horizontal timeline — Discover · Try · Request · Consume — each step with a 40-word explanation and a screenshot thumbnail. Anchors the mental model for first-time visitors.</w:t>
            </w:r>
          </w:p>
        </w:tc>
      </w:tr>
      <w:tr>
        <w:tc>
          <w:tcPr>
            <w:tcW w:type="dxa" w:w="40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8</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mesh</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Interactive miniature of the data product mesh; hovering a node reveals its neighbours and shared sources. Click-through to /mesh/data. This band is the visual differentiator against ordinary catalogs.</w:t>
            </w:r>
          </w:p>
        </w:tc>
      </w:tr>
      <w:tr>
        <w:tc>
          <w:tcPr>
            <w:tcW w:type="dxa" w:w="40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9</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Value proof</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Three quantified outcome tiles fed from the value module (analyst hours deflected, duplicate builds avoided, median time-to-access) plus two customer-quote slots that render placeholder copy until populated.</w:t>
            </w:r>
          </w:p>
        </w:tc>
      </w:tr>
      <w:tr>
        <w:tc>
          <w:tcPr>
            <w:tcW w:type="dxa" w:w="40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10</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Footer</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Domain sitemap, governance and privacy statements, connector status, API and MCP documentation links, academy entry point, support and SLA contacts.</w:t>
            </w:r>
          </w:p>
        </w:tc>
      </w:tr>
    </w:tbl>
    <w:p>
      <w:pPr>
        <w:pStyle w:val="Heading2"/>
        <w:spacing w:after="120" w:before="280"/>
      </w:pPr>
      <w:r>
        <w:rPr>
          <w:rFonts w:ascii="Calibri" w:cs="Calibri" w:eastAsia="Calibri" w:hAnsi="Calibri"/>
          <w:b/>
          <w:bCs/>
          <w:color w:val="117A8B"/>
          <w:sz w:val="25"/>
          <w:szCs w:val="25"/>
        </w:rPr>
        <w:t xml:space="preserve">6.3 Personalization Rules</w:t>
      </w:r>
    </w:p>
    <w:p>
      <w:pPr>
        <w:pStyle w:val="ListParagraph"/>
        <w:numPr>
          <w:ilvl w:val="0"/>
          <w:numId w:val="2"/>
        </w:numPr>
        <w:spacing w:after="70" w:line="268"/>
      </w:pPr>
      <w:r>
        <w:rPr>
          <w:rFonts w:ascii="Calibri" w:cs="Calibri" w:eastAsia="Calibri" w:hAnsi="Calibri"/>
          <w:color w:val="1F2A33"/>
          <w:sz w:val="21"/>
          <w:szCs w:val="21"/>
        </w:rPr>
        <w:t xml:space="preserve">Unauthenticated visitors see the full marketing composition with demo-tier data only.</w:t>
      </w:r>
    </w:p>
    <w:p>
      <w:pPr>
        <w:pStyle w:val="ListParagraph"/>
        <w:numPr>
          <w:ilvl w:val="0"/>
          <w:numId w:val="2"/>
        </w:numPr>
        <w:spacing w:after="70" w:line="268"/>
      </w:pPr>
      <w:r>
        <w:rPr>
          <w:rFonts w:ascii="Calibri" w:cs="Calibri" w:eastAsia="Calibri" w:hAnsi="Calibri"/>
          <w:color w:val="1F2A33"/>
          <w:sz w:val="21"/>
          <w:szCs w:val="21"/>
        </w:rPr>
        <w:t xml:space="preserve">Authenticated users see bands 4 and 5 re-ranked by their department’s consumption history and by assets their peers in the same organizational unit adopted in the last 90 days, with a "Because your team uses…" caption stating the reason. The caption is mandatory — no unexplained recommendations.</w:t>
      </w:r>
    </w:p>
    <w:p>
      <w:pPr>
        <w:pStyle w:val="ListParagraph"/>
        <w:numPr>
          <w:ilvl w:val="0"/>
          <w:numId w:val="2"/>
        </w:numPr>
        <w:spacing w:after="70" w:line="268"/>
      </w:pPr>
      <w:r>
        <w:rPr>
          <w:rFonts w:ascii="Calibri" w:cs="Calibri" w:eastAsia="Calibri" w:hAnsi="Calibri"/>
          <w:color w:val="1F2A33"/>
          <w:sz w:val="21"/>
          <w:szCs w:val="21"/>
        </w:rPr>
        <w:t xml:space="preserve">Users with pending requests see a status strip above band 2 with the SLA clock.</w:t>
      </w:r>
    </w:p>
    <w:p>
      <w:pPr>
        <w:pStyle w:val="ListParagraph"/>
        <w:numPr>
          <w:ilvl w:val="0"/>
          <w:numId w:val="2"/>
        </w:numPr>
        <w:spacing w:after="70" w:line="268"/>
      </w:pPr>
      <w:r>
        <w:rPr>
          <w:rFonts w:ascii="Calibri" w:cs="Calibri" w:eastAsia="Calibri" w:hAnsi="Calibri"/>
          <w:color w:val="1F2A33"/>
          <w:sz w:val="21"/>
          <w:szCs w:val="21"/>
        </w:rPr>
        <w:t xml:space="preserve">Owners see an inline strip with their assets’ health and any breach requiring attention.</w:t>
      </w:r>
    </w:p>
    <w:p>
      <w:pPr>
        <w:pStyle w:val="ListParagraph"/>
        <w:numPr>
          <w:ilvl w:val="0"/>
          <w:numId w:val="2"/>
        </w:numPr>
        <w:spacing w:after="70" w:line="268"/>
      </w:pPr>
      <w:r>
        <w:rPr>
          <w:rFonts w:ascii="Calibri" w:cs="Calibri" w:eastAsia="Calibri" w:hAnsi="Calibri"/>
          <w:color w:val="1F2A33"/>
          <w:sz w:val="21"/>
          <w:szCs w:val="21"/>
        </w:rPr>
        <w:t xml:space="preserve">A visitor’s industry is inferred from tenant configuration; the inference is overridable in one click and the override persists.</w:t>
      </w:r>
    </w:p>
    <w:p>
      <w:pPr>
        <w:pStyle w:val="Heading2"/>
        <w:spacing w:after="120" w:before="280"/>
      </w:pPr>
      <w:r>
        <w:rPr>
          <w:rFonts w:ascii="Calibri" w:cs="Calibri" w:eastAsia="Calibri" w:hAnsi="Calibri"/>
          <w:b/>
          <w:bCs/>
          <w:color w:val="117A8B"/>
          <w:sz w:val="25"/>
          <w:szCs w:val="25"/>
        </w:rPr>
        <w:t xml:space="preserve">6.4 Performance &amp; Accessibility Budget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419"/>
        <w:gridCol w:w="7661"/>
      </w:tblGrid>
      <w:tr>
        <w:trPr>
          <w:tblHeader/>
        </w:trPr>
        <w:tc>
          <w:tcPr>
            <w:tcW w:type="dxa" w:w="241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Metric</w:t>
            </w:r>
          </w:p>
        </w:tc>
        <w:tc>
          <w:tcPr>
            <w:tcW w:type="dxa" w:w="766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Budget</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Largest Contentful Paint</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 1.8 s on a 4G connection; hero renders from server components with no client-side data dependency</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Total blocking time</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 150 ms; mesh canvas and answer theatre lazy-load below the fold</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Interaction to next paint</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 200 ms for search-as-you-type</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Accessibility</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WCAG 2.2 AA. Contrast ≥ 4.5:1 for all text including gold-on-navy CTAs; full keyboard traversal; mesh has an equivalent accessible table view; all animation respects prefers-reduced-motion</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Internationalization</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All copy externalized; layout tested for 35% string expansion; date, number and currency formatting locale-aware</w:t>
            </w:r>
          </w:p>
        </w:tc>
      </w:tr>
    </w:tbl>
    <w:p>
      <w:pPr>
        <w:pStyle w:val="Heading2"/>
        <w:spacing w:after="120" w:before="280"/>
      </w:pPr>
      <w:r>
        <w:rPr>
          <w:rFonts w:ascii="Calibri" w:cs="Calibri" w:eastAsia="Calibri" w:hAnsi="Calibri"/>
          <w:b/>
          <w:bCs/>
          <w:color w:val="117A8B"/>
          <w:sz w:val="25"/>
          <w:szCs w:val="25"/>
        </w:rPr>
        <w:t xml:space="preserve">6.5 Motion System — Principles and Tokens</w:t>
      </w:r>
    </w:p>
    <w:p>
      <w:pPr>
        <w:spacing w:after="120" w:line="276"/>
        <w:jc w:val="left"/>
      </w:pPr>
      <w:r>
        <w:rPr>
          <w:rFonts w:ascii="Calibri" w:cs="Calibri" w:eastAsia="Calibri" w:hAnsi="Calibri"/>
          <w:b w:val="false"/>
          <w:bCs w:val="false"/>
          <w:i w:val="false"/>
          <w:iCs w:val="false"/>
          <w:color w:val="1F2A33"/>
          <w:sz w:val="21"/>
          <w:szCs w:val="21"/>
        </w:rPr>
        <w:t xml:space="preserve">The front page moves because the estate is alive, not because motion is fashionable. Every animation on this page answers one of three questions: what is on the shelf right now, what can it do, and is it working. Motion that answers none of them is removed.</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310"/>
        <w:gridCol w:w="3024"/>
        <w:gridCol w:w="3024"/>
        <w:gridCol w:w="2722"/>
      </w:tblGrid>
      <w:tr>
        <w:trPr>
          <w:tblHeader/>
        </w:trPr>
        <w:tc>
          <w:tcPr>
            <w:tcW w:type="dxa" w:w="131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Motion class</w:t>
            </w:r>
          </w:p>
        </w:tc>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Definition</w:t>
            </w:r>
          </w:p>
        </w:tc>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Where used</w:t>
            </w:r>
          </w:p>
        </w:tc>
        <w:tc>
          <w:tcPr>
            <w:tcW w:type="dxa" w:w="27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Rules</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Ambient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Continuous, low-salience, never demands attention or blocks reading</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Hero mesh constellation, data product ribbon, agent orbits</w:t>
            </w:r>
          </w:p>
        </w:tc>
        <w:tc>
          <w:tcPr>
            <w:tcW w:type="dxa" w:w="27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Amplitude under 8px, opacity under 0.3 for background layers, pausable, always secondary to text contrast</w:t>
            </w:r>
          </w:p>
        </w:tc>
      </w:tr>
      <w:tr>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Reactive</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Triggered by pointer, focus, scroll or keyboard; ends when input ends</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Card hover lift, node neighbourhood highlight, counter count-up on scroll, ribbon pause on hover</w:t>
            </w:r>
          </w:p>
        </w:tc>
        <w:tc>
          <w:tcPr>
            <w:tcW w:type="dxa" w:w="27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Under 200ms to first visible response; must be reachable by keyboard, not pointer only</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Narrative</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Plays once to tell a specific story, with explicit user controls</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Live answer theatre, how-it-works timeline, mesh settle on first paint</w:t>
            </w:r>
          </w:p>
        </w:tc>
        <w:tc>
          <w:tcPr>
            <w:tcW w:type="dxa" w:w="27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Pause, restart and skip controls; never auto-restarts more than once without interaction</w:t>
            </w:r>
          </w:p>
        </w:tc>
      </w:tr>
    </w:tbl>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419"/>
        <w:gridCol w:w="4032"/>
        <w:gridCol w:w="3629"/>
      </w:tblGrid>
      <w:tr>
        <w:trPr>
          <w:tblHeader/>
        </w:trPr>
        <w:tc>
          <w:tcPr>
            <w:tcW w:type="dxa" w:w="241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Token</w:t>
            </w:r>
          </w:p>
        </w:tc>
        <w:tc>
          <w:tcPr>
            <w:tcW w:type="dxa" w:w="403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Value</w:t>
            </w:r>
          </w:p>
        </w:tc>
        <w:tc>
          <w:tcPr>
            <w:tcW w:type="dxa" w:w="362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Applied to</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duration.micro / base / slow / ambient</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120ms / 240ms / 480ms / 20–90s loop</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Hover feedback · card entrance · mesh settle · ribbon and orbit cycles</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easing.standard / entrance / exit</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cubic-bezier(.2,0,0,1) · cubic-bezier(.05,.7,.1,1) · cubic-bezier(.3,0,.8,.15)</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transitions; no linear easing except continuous marquee translation</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stagger.grid / list</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40ms per card, capped at 240ms total · 24ms per row</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Card grids and result lists on first paint only, never on filter re-render</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animatable properties</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transform and opacity only</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animation. Animating width, height, top, left, box-shadow or filter is a review rejection</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motion.pauseTriggers</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prefers-reduced-motion · document.hidden · Save-Data header · battery below 20% · viewport under 640px · user pause control</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Global motion controller; any trigger halts ambient motion and freezes to a composed static frame</w:t>
            </w:r>
          </w:p>
        </w:tc>
      </w:tr>
    </w:tbl>
    <w:p>
      <w:pPr>
        <w:pStyle w:val="Heading2"/>
        <w:spacing w:after="120" w:before="280"/>
      </w:pPr>
      <w:r>
        <w:rPr>
          <w:rFonts w:ascii="Calibri" w:cs="Calibri" w:eastAsia="Calibri" w:hAnsi="Calibri"/>
          <w:b/>
          <w:bCs/>
          <w:color w:val="117A8B"/>
          <w:sz w:val="25"/>
          <w:szCs w:val="25"/>
        </w:rPr>
        <w:t xml:space="preserve">6.6 Living Data Product Ribbon</w:t>
      </w:r>
    </w:p>
    <w:p>
      <w:pPr>
        <w:spacing w:after="120" w:line="276"/>
        <w:jc w:val="left"/>
      </w:pPr>
      <w:r>
        <w:rPr>
          <w:rFonts w:ascii="Calibri" w:cs="Calibri" w:eastAsia="Calibri" w:hAnsi="Calibri"/>
          <w:b w:val="false"/>
          <w:bCs w:val="false"/>
          <w:i w:val="false"/>
          <w:iCs w:val="false"/>
          <w:color w:val="1F2A33"/>
          <w:sz w:val="21"/>
          <w:szCs w:val="21"/>
        </w:rPr>
        <w:t xml:space="preserve">Band 4 renders as a continuously moving supply ribbon rather than a static grid, so a first-time visitor sees breadth in the first three seconds without scrolling or clicking. It is the single most persuasive element on the page and the one most likely to be built badly, so it is specified precisely.</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Aspect</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Specification</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Composition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Two rows of data product cards travelling in opposite directions. Upper row right-to-left at 32px/s, lower row left-to-right at 24px/s. Different speeds prevent the two rows from reading as one moving block.</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Card content</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standard catalog card (§7.3) at 88% scale: name, domain chip, one-line purpose, animated quality ring, freshness pill, consumer count, attached-agent avatars.</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Selection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Live from GET /products?featured=true, ordered by the featured ranking function (adoption velocity × quality × recency) stored as rubric data. Minimum 12 and maximum 24 cards per row; the set is re-fetched every 5 minutes and cross-faded, never hard-swapped.</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Loop mechanics</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Track duplicated once and translated with transform: translate3d(); the transform resets at exactly one track width so the seam is never visible. Implemented with the Web Animations API on a single composited layer per row — not one animation per card, and not a scroll-position hack.</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Interaction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Pointer enter or keyboard focus anywhere in a row pauses that row within 120ms and lifts the hovered card 4px with a shadow step. Leaving resumes from the paused position, never from the start. Click or Enter opens the product detail page.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Keyboard and assistive tech</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ribbon is a semantic list. Tab moves card to card in DOM order and pauses motion for as long as focus is inside. A visible Pause / Play control sits at the band’s top-right and satisfies WCAG 2.2.2 for motion lasting longer than five seconds.</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Quality ring animation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 card entry into the viewport the ring sweeps from 0 to its score over 700ms with the numeric value counting in parallel, then holds. It does not re-animate on each loop pass — repeated animation of the same number reads as instability.</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Reduced motion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Ribbon renders as a static three-across grid of the top six cards with a "Browse all 15 products" link. No horizontal auto-scroll, no count-up, no cross-fade.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Empty and error state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If the catalog API fails the band renders the last successful payload from cache with an as-of stamp; if there is no cache it collapses entirely rather than showing skeletons on a marketing page.</w:t>
            </w:r>
          </w:p>
        </w:tc>
      </w:tr>
    </w:tbl>
    <w:p>
      <w:pPr>
        <w:pStyle w:val="Heading2"/>
        <w:spacing w:after="120" w:before="280"/>
      </w:pPr>
      <w:r>
        <w:rPr>
          <w:rFonts w:ascii="Calibri" w:cs="Calibri" w:eastAsia="Calibri" w:hAnsi="Calibri"/>
          <w:b/>
          <w:bCs/>
          <w:color w:val="117A8B"/>
          <w:sz w:val="25"/>
          <w:szCs w:val="25"/>
        </w:rPr>
        <w:t xml:space="preserve">6.7 Agent Constellation and Hero Mesh</w:t>
      </w:r>
    </w:p>
    <w:p>
      <w:pPr>
        <w:spacing w:after="120" w:line="276"/>
        <w:jc w:val="left"/>
      </w:pPr>
      <w:r>
        <w:rPr>
          <w:rFonts w:ascii="Calibri" w:cs="Calibri" w:eastAsia="Calibri" w:hAnsi="Calibri"/>
          <w:b w:val="false"/>
          <w:bCs w:val="false"/>
          <w:i w:val="false"/>
          <w:iCs w:val="false"/>
          <w:color w:val="1F2A33"/>
          <w:sz w:val="21"/>
          <w:szCs w:val="21"/>
        </w:rPr>
        <w:t xml:space="preserve">The hero background renders the estate itself: data products as nodes, shared upstream sources as edges, and agents as satellites in slow orbit around the products they consume. It is the same data as the mesh explorer in Section 16, rendered at low salience, and it is what makes the page unmistakably a data and AI product rather than a generic SaaS landing page.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Aspect</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Specification</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source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GET /mesh/data?scope=featured returns up to 60 product nodes and their edges above the render threshold, plus GET /agents?live=true for satellites. Real identifiers, real edges — the hero is never a decorative fake graph.</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Layout</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d3-force simulation pre-warmed for 300 ticks server-side and shipped as fixed coordinates, so the client paints the settled layout immediately. The client then runs a damped simulation at alpha 0.02 for gentle drift only.</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orbits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Each agent renders as a small glyph orbiting the centroid of the products it consumes, at 0.6–1.1 degrees per second with per-agent phase offset. An agent consuming two products traces an ellipse between them, which makes multi-product agents visually legible without a legend.</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Answer pulses</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When an agent answers a question, a pulse travels along the agent-to-product edge in 900ms. Fed by a Server-Sent Events channel of anonymised, aggregated activity; in demo tier it replays a recorded event stream. Rate-limited to six pulses per second so the hero never strobes.</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Encoding</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Node radius = active consumers (log scale, clamped 3–14px); node colour = quality band; ring = certification; slow amber pulse = open incident. The same encoding as the full mesh explorer, so the visual vocabulary is learned once.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Interaction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Hover or focus freezes drift, dims non-neighbours to 20% opacity, and shows a compact peek card with name, quality, consumers and attached agents. Click navigates to the asset. The hero is interactive but never captures scroll.</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Rendering technology</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SVG below 150 nodes; a single canvas layer with quadtree hit-testing above that. WebGL only if a tenant estate exceeds 1,500 rendered nodes, which the featured scope should prevent. Rendering runs off the main thread where OffscreenCanvas is available.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Level of detail</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Below 900px viewport width the constellation drops edges and renders nodes only. Below 640px it is replaced by a static gradient with a single composed graph image.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Text protection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constellation is capped at 12% opacity behind copy and a navy scrim guarantees 4.5:1 contrast for hero text regardless of node density. Contrast is asserted by an automated check in CI against the rendered hero.</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Reduced motion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single settled frame renders with no drift, no orbit and no pulses. Hover highlighting remains, because it is input-driven rather than ambient.</w:t>
            </w:r>
          </w:p>
        </w:tc>
      </w:tr>
    </w:tbl>
    <w:p>
      <w:pPr>
        <w:pStyle w:val="Heading2"/>
        <w:spacing w:after="120" w:before="280"/>
      </w:pPr>
      <w:r>
        <w:rPr>
          <w:rFonts w:ascii="Calibri" w:cs="Calibri" w:eastAsia="Calibri" w:hAnsi="Calibri"/>
          <w:b/>
          <w:bCs/>
          <w:color w:val="117A8B"/>
          <w:sz w:val="25"/>
          <w:szCs w:val="25"/>
        </w:rPr>
        <w:t xml:space="preserve">6.8 Live Answer Theatre</w:t>
      </w:r>
    </w:p>
    <w:p>
      <w:pPr>
        <w:spacing w:after="120" w:line="276"/>
        <w:jc w:val="left"/>
      </w:pPr>
      <w:r>
        <w:rPr>
          <w:rFonts w:ascii="Calibri" w:cs="Calibri" w:eastAsia="Calibri" w:hAnsi="Calibri"/>
          <w:b w:val="false"/>
          <w:bCs w:val="false"/>
          <w:i w:val="false"/>
          <w:iCs w:val="false"/>
          <w:color w:val="1F2A33"/>
          <w:sz w:val="21"/>
          <w:szCs w:val="21"/>
        </w:rPr>
        <w:t xml:space="preserve">Band 6 shows an agent answering a real question, unattended, on a loop. It converts better than any static screenshot because it demonstrates the product doing the thing the product is for.</w:t>
      </w:r>
    </w:p>
    <w:p>
      <w:pPr>
        <w:pStyle w:val="ListParagraph"/>
        <w:numPr>
          <w:ilvl w:val="0"/>
          <w:numId w:val="2"/>
        </w:numPr>
        <w:spacing w:after="70" w:line="268"/>
      </w:pPr>
      <w:r>
        <w:rPr>
          <w:rFonts w:ascii="Calibri" w:cs="Calibri" w:eastAsia="Calibri" w:hAnsi="Calibri"/>
          <w:b/>
          <w:bCs/>
          <w:color w:val="0B2C4D"/>
          <w:sz w:val="21"/>
          <w:szCs w:val="21"/>
        </w:rPr>
        <w:t xml:space="preserve">Choreography.</w:t>
      </w:r>
      <w:r>
        <w:rPr>
          <w:rFonts w:ascii="Calibri" w:cs="Calibri" w:eastAsia="Calibri" w:hAnsi="Calibri"/>
          <w:color w:val="1F2A33"/>
          <w:sz w:val="21"/>
          <w:szCs w:val="21"/>
        </w:rPr>
        <w:t xml:space="preserve"> Question types character by character at 45 characters per second with a blinking caret (900ms) → 400ms thinking indicator showing the tool being called → answer headline streams token by token → chart draws in over 600ms with bars growing from the axis → data table rows fade in with 24ms stagger → citation chips and the as-of stamp slide up last. Total 14–18 seconds, then a 4-second hold before the next exchange.</w:t>
      </w:r>
    </w:p>
    <w:p>
      <w:pPr>
        <w:pStyle w:val="ListParagraph"/>
        <w:numPr>
          <w:ilvl w:val="0"/>
          <w:numId w:val="2"/>
        </w:numPr>
        <w:spacing w:after="70" w:line="268"/>
      </w:pPr>
      <w:r>
        <w:rPr>
          <w:rFonts w:ascii="Calibri" w:cs="Calibri" w:eastAsia="Calibri" w:hAnsi="Calibri"/>
          <w:b/>
          <w:bCs/>
          <w:color w:val="0B2C4D"/>
          <w:sz w:val="21"/>
          <w:szCs w:val="21"/>
        </w:rPr>
        <w:t xml:space="preserve">Provenance is honest.</w:t>
      </w:r>
      <w:r>
        <w:rPr>
          <w:rFonts w:ascii="Calibri" w:cs="Calibri" w:eastAsia="Calibri" w:hAnsi="Calibri"/>
          <w:color w:val="1F2A33"/>
          <w:sz w:val="21"/>
          <w:szCs w:val="21"/>
        </w:rPr>
        <w:t xml:space="preserve"> For unauthenticated visitors the theatre replays a recorded execution trace of a real agent run — the tokens, tool calls, latency and cost are exactly what that run produced — and carries a "recorded" stamp with its date. Traces are re-recorded by the nightly validation job, so a stale trace cannot survive a regression. Authenticated users see live execution against the demo tier instead. Fabricated answers are prohibited in both modes.</w:t>
      </w:r>
    </w:p>
    <w:p>
      <w:pPr>
        <w:pStyle w:val="ListParagraph"/>
        <w:numPr>
          <w:ilvl w:val="0"/>
          <w:numId w:val="2"/>
        </w:numPr>
        <w:spacing w:after="70" w:line="268"/>
      </w:pPr>
      <w:r>
        <w:rPr>
          <w:rFonts w:ascii="Calibri" w:cs="Calibri" w:eastAsia="Calibri" w:hAnsi="Calibri"/>
          <w:b/>
          <w:bCs/>
          <w:color w:val="0B2C4D"/>
          <w:sz w:val="21"/>
          <w:szCs w:val="21"/>
        </w:rPr>
        <w:t xml:space="preserve">Controls.</w:t>
      </w:r>
      <w:r>
        <w:rPr>
          <w:rFonts w:ascii="Calibri" w:cs="Calibri" w:eastAsia="Calibri" w:hAnsi="Calibri"/>
          <w:color w:val="1F2A33"/>
          <w:sz w:val="21"/>
          <w:szCs w:val="21"/>
        </w:rPr>
        <w:t xml:space="preserve"> Pause, restart, previous and next exchange, plus a question picker listing the curated set. Keyboard operable. The loop stops permanently after three cycles without interaction, because indefinite looping is an accessibility and attention cost with no additional persuasive value.</w:t>
      </w:r>
    </w:p>
    <w:p>
      <w:pPr>
        <w:pStyle w:val="ListParagraph"/>
        <w:numPr>
          <w:ilvl w:val="0"/>
          <w:numId w:val="2"/>
        </w:numPr>
        <w:spacing w:after="70" w:line="268"/>
      </w:pPr>
      <w:r>
        <w:rPr>
          <w:rFonts w:ascii="Calibri" w:cs="Calibri" w:eastAsia="Calibri" w:hAnsi="Calibri"/>
          <w:b/>
          <w:bCs/>
          <w:color w:val="0B2C4D"/>
          <w:sz w:val="21"/>
          <w:szCs w:val="21"/>
        </w:rPr>
        <w:t xml:space="preserve">The right rail is visible by default.</w:t>
      </w:r>
      <w:r>
        <w:rPr>
          <w:rFonts w:ascii="Calibri" w:cs="Calibri" w:eastAsia="Calibri" w:hAnsi="Calibri"/>
          <w:color w:val="1F2A33"/>
          <w:sz w:val="21"/>
          <w:szCs w:val="21"/>
        </w:rPr>
        <w:t xml:space="preserve"> Tool calls, rows scanned, latency and cost render alongside the answer. This transparency panel is the strongest differentiator against a generic chat demo and it is not hidden behind a toggle.</w:t>
      </w:r>
    </w:p>
    <w:p>
      <w:pPr>
        <w:pStyle w:val="ListParagraph"/>
        <w:numPr>
          <w:ilvl w:val="0"/>
          <w:numId w:val="2"/>
        </w:numPr>
        <w:spacing w:after="70" w:line="268"/>
      </w:pPr>
      <w:r>
        <w:rPr>
          <w:rFonts w:ascii="Calibri" w:cs="Calibri" w:eastAsia="Calibri" w:hAnsi="Calibri"/>
          <w:b/>
          <w:bCs/>
          <w:color w:val="0B2C4D"/>
          <w:sz w:val="21"/>
          <w:szCs w:val="21"/>
        </w:rPr>
        <w:t xml:space="preserve">Reduced motion.</w:t>
      </w:r>
      <w:r>
        <w:rPr>
          <w:rFonts w:ascii="Calibri" w:cs="Calibri" w:eastAsia="Calibri" w:hAnsi="Calibri"/>
          <w:color w:val="1F2A33"/>
          <w:sz w:val="21"/>
          <w:szCs w:val="21"/>
        </w:rPr>
        <w:t xml:space="preserve"> The completed answer renders instantly and in full, with the chart drawn and no typing effect. Every control still works.</w:t>
      </w:r>
    </w:p>
    <w:p>
      <w:pPr>
        <w:pStyle w:val="Heading2"/>
        <w:spacing w:after="120" w:before="280"/>
      </w:pPr>
      <w:r>
        <w:rPr>
          <w:rFonts w:ascii="Calibri" w:cs="Calibri" w:eastAsia="Calibri" w:hAnsi="Calibri"/>
          <w:b/>
          <w:bCs/>
          <w:color w:val="117A8B"/>
          <w:sz w:val="25"/>
          <w:szCs w:val="25"/>
        </w:rPr>
        <w:t xml:space="preserve">6.9 Activity Ticker and Live Counters</w:t>
      </w:r>
    </w:p>
    <w:p>
      <w:pPr>
        <w:pStyle w:val="ListParagraph"/>
        <w:numPr>
          <w:ilvl w:val="0"/>
          <w:numId w:val="2"/>
        </w:numPr>
        <w:spacing w:after="70" w:line="268"/>
      </w:pPr>
      <w:r>
        <w:rPr>
          <w:rFonts w:ascii="Calibri" w:cs="Calibri" w:eastAsia="Calibri" w:hAnsi="Calibri"/>
          <w:b/>
          <w:bCs/>
          <w:color w:val="0B2C4D"/>
          <w:sz w:val="21"/>
          <w:szCs w:val="21"/>
        </w:rPr>
        <w:t xml:space="preserve">Counters (band 2)</w:t>
      </w:r>
      <w:r>
        <w:rPr>
          <w:rFonts w:ascii="Calibri" w:cs="Calibri" w:eastAsia="Calibri" w:hAnsi="Calibri"/>
          <w:color w:val="1F2A33"/>
          <w:sz w:val="21"/>
          <w:szCs w:val="21"/>
        </w:rPr>
        <w:t xml:space="preserve"> count up from zero to the live value over 1,200ms with entrance easing, triggered once when the strip enters the viewport. Values come from a cached aggregate refreshed every 30 seconds; a changed value tumbles digit by digit rather than jumping.</w:t>
      </w:r>
    </w:p>
    <w:p>
      <w:pPr>
        <w:pStyle w:val="ListParagraph"/>
        <w:numPr>
          <w:ilvl w:val="0"/>
          <w:numId w:val="2"/>
        </w:numPr>
        <w:spacing w:after="70" w:line="268"/>
      </w:pPr>
      <w:r>
        <w:rPr>
          <w:rFonts w:ascii="Calibri" w:cs="Calibri" w:eastAsia="Calibri" w:hAnsi="Calibri"/>
          <w:b/>
          <w:bCs/>
          <w:color w:val="0B2C4D"/>
          <w:sz w:val="21"/>
          <w:szCs w:val="21"/>
        </w:rPr>
        <w:t xml:space="preserve">Activity ticker</w:t>
      </w:r>
      <w:r>
        <w:rPr>
          <w:rFonts w:ascii="Calibri" w:cs="Calibri" w:eastAsia="Calibri" w:hAnsi="Calibri"/>
          <w:color w:val="1F2A33"/>
          <w:sz w:val="21"/>
          <w:szCs w:val="21"/>
        </w:rPr>
        <w:t xml:space="preserve"> runs beneath the counters: a slow vertical crawl of anonymised platform events — "a retail data product was certified", "an access request was provisioned in 3 hours", "an agent answered 240 questions today". Never a person’s name, never an asset above Internal sensitivity, never a customer identifier.</w:t>
      </w:r>
    </w:p>
    <w:p>
      <w:pPr>
        <w:pStyle w:val="ListParagraph"/>
        <w:numPr>
          <w:ilvl w:val="0"/>
          <w:numId w:val="2"/>
        </w:numPr>
        <w:spacing w:after="70" w:line="268"/>
      </w:pPr>
      <w:r>
        <w:rPr>
          <w:rFonts w:ascii="Calibri" w:cs="Calibri" w:eastAsia="Calibri" w:hAnsi="Calibri"/>
          <w:b/>
          <w:bCs/>
          <w:color w:val="0B2C4D"/>
          <w:sz w:val="21"/>
          <w:szCs w:val="21"/>
        </w:rPr>
        <w:t xml:space="preserve">Privacy rule.</w:t>
      </w:r>
      <w:r>
        <w:rPr>
          <w:rFonts w:ascii="Calibri" w:cs="Calibri" w:eastAsia="Calibri" w:hAnsi="Calibri"/>
          <w:color w:val="1F2A33"/>
          <w:sz w:val="21"/>
          <w:szCs w:val="21"/>
        </w:rPr>
        <w:t xml:space="preserve"> Ticker events pass through the same aggregation and suppression rules as the benchmark service: no event referencing fewer than five underlying occurrences is emitted, which prevents the ticker from becoming a side channel onto a single team’s activity.</w:t>
      </w:r>
    </w:p>
    <w:p>
      <w:pPr>
        <w:pStyle w:val="ListParagraph"/>
        <w:numPr>
          <w:ilvl w:val="0"/>
          <w:numId w:val="2"/>
        </w:numPr>
        <w:spacing w:after="70" w:line="268"/>
      </w:pPr>
      <w:r>
        <w:rPr>
          <w:rFonts w:ascii="Calibri" w:cs="Calibri" w:eastAsia="Calibri" w:hAnsi="Calibri"/>
          <w:b/>
          <w:bCs/>
          <w:color w:val="0B2C4D"/>
          <w:sz w:val="21"/>
          <w:szCs w:val="21"/>
        </w:rPr>
        <w:t xml:space="preserve">Failure behaviour.</w:t>
      </w:r>
      <w:r>
        <w:rPr>
          <w:rFonts w:ascii="Calibri" w:cs="Calibri" w:eastAsia="Calibri" w:hAnsi="Calibri"/>
          <w:color w:val="1F2A33"/>
          <w:sz w:val="21"/>
          <w:szCs w:val="21"/>
        </w:rPr>
        <w:t xml:space="preserve"> If the event channel is unavailable the ticker hides itself. A frozen ticker showing a stale event is worse than no ticker.</w:t>
      </w:r>
    </w:p>
    <w:p>
      <w:pPr>
        <w:pStyle w:val="Heading2"/>
        <w:spacing w:after="120" w:before="280"/>
      </w:pPr>
      <w:r>
        <w:rPr>
          <w:rFonts w:ascii="Calibri" w:cs="Calibri" w:eastAsia="Calibri" w:hAnsi="Calibri"/>
          <w:b/>
          <w:bCs/>
          <w:color w:val="117A8B"/>
          <w:sz w:val="25"/>
          <w:szCs w:val="25"/>
        </w:rPr>
        <w:t xml:space="preserve">6.10 Motion Performance and Accessibility Budget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218"/>
        <w:gridCol w:w="4838"/>
        <w:gridCol w:w="3024"/>
      </w:tblGrid>
      <w:tr>
        <w:trPr>
          <w:tblHeader/>
        </w:trPr>
        <w:tc>
          <w:tcPr>
            <w:tcW w:type="dxa" w:w="221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Metric</w:t>
            </w:r>
          </w:p>
        </w:tc>
        <w:tc>
          <w:tcPr>
            <w:tcW w:type="dxa" w:w="483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Budget</w:t>
            </w:r>
          </w:p>
        </w:tc>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Enforcement</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Sustained frame rate</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58 fps or better on a 4-year-old mid-range laptop and on an iPhone SE class device with all ambient motion running</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Playwright trace with CPU throttling in CI; regression fails the build</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Main-thread work per animation frame</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 4ms; layout and paint excluded from animation frames entirely</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Only transform and opacity animate; CI lints for animation of layout-triggering properties</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Cumulative Layout Shift</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0.00 on the landing page. Ribbon, constellation and theatre reserve their exact box before paint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Lighthouse assertion in CI</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Interaction to next paint</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 200 ms with all ambient motion running, including ribbon pause on hover</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Field and lab measurement; ambient motion yields to input</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Off-screen and hidden cost</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Zero animation frames scheduled when the element is off-screen or document.hidden</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IntersectionObserver and visibilitychange wired into a single motion controller, not per-component</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Reduced motion</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ambient animation has a specified static equivalent that preserves the same information</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Visual regression suite runs the full landing page in both motion modes</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Motion pause control</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visible, keyboard-reachable global "Reduce motion on this page" control in the header, persisted per user</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WCAG 2.2.2 conformance test</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Bundle cost of motion</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 45 KB gzipped for the entire motion layer including the graph renderer</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Bundle budget check in CI; a heavyweight animation library that breaches it is rejected</w:t>
            </w:r>
          </w:p>
        </w:tc>
      </w:tr>
    </w:tbl>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7. Data Product Catalog — Browse &amp; Discovery</w:t>
      </w:r>
    </w:p>
    <w:p>
      <w:pPr>
        <w:spacing w:after="120" w:line="276"/>
        <w:jc w:val="left"/>
      </w:pPr>
      <w:r>
        <w:rPr>
          <w:rFonts w:ascii="Calibri" w:cs="Calibri" w:eastAsia="Calibri" w:hAnsi="Calibri"/>
          <w:b w:val="false"/>
          <w:bCs w:val="false"/>
          <w:i w:val="false"/>
          <w:iCs w:val="false"/>
          <w:color w:val="1F2A33"/>
          <w:sz w:val="21"/>
          <w:szCs w:val="21"/>
        </w:rPr>
        <w:t xml:space="preserve">The catalog answers "what exists, is it any good, and who else uses it" before the consumer opens anything. Every judgment a consumer needs to shortlist an asset is rendered on the card.</w:t>
      </w:r>
    </w:p>
    <w:p>
      <w:pPr>
        <w:pStyle w:val="Heading2"/>
        <w:spacing w:after="120" w:before="280"/>
      </w:pPr>
      <w:r>
        <w:rPr>
          <w:rFonts w:ascii="Calibri" w:cs="Calibri" w:eastAsia="Calibri" w:hAnsi="Calibri"/>
          <w:b/>
          <w:bCs/>
          <w:color w:val="117A8B"/>
          <w:sz w:val="25"/>
          <w:szCs w:val="25"/>
        </w:rPr>
        <w:t xml:space="preserve">7.1 Layout</w:t>
      </w:r>
    </w:p>
    <w:p>
      <w:pPr>
        <w:pStyle w:val="ListParagraph"/>
        <w:numPr>
          <w:ilvl w:val="0"/>
          <w:numId w:val="2"/>
        </w:numPr>
        <w:spacing w:after="70" w:line="268"/>
      </w:pPr>
      <w:r>
        <w:rPr>
          <w:rFonts w:ascii="Calibri" w:cs="Calibri" w:eastAsia="Calibri" w:hAnsi="Calibri"/>
          <w:b/>
          <w:bCs/>
          <w:color w:val="0B2C4D"/>
          <w:sz w:val="21"/>
          <w:szCs w:val="21"/>
        </w:rPr>
        <w:t xml:space="preserve">Left rail (280px, collapsible):</w:t>
      </w:r>
      <w:r>
        <w:rPr>
          <w:rFonts w:ascii="Calibri" w:cs="Calibri" w:eastAsia="Calibri" w:hAnsi="Calibri"/>
          <w:color w:val="1F2A33"/>
          <w:sz w:val="21"/>
          <w:szCs w:val="21"/>
        </w:rPr>
        <w:t xml:space="preserve"> faceted filters with live result counts.</w:t>
      </w:r>
    </w:p>
    <w:p>
      <w:pPr>
        <w:pStyle w:val="ListParagraph"/>
        <w:numPr>
          <w:ilvl w:val="0"/>
          <w:numId w:val="2"/>
        </w:numPr>
        <w:spacing w:after="70" w:line="268"/>
      </w:pPr>
      <w:r>
        <w:rPr>
          <w:rFonts w:ascii="Calibri" w:cs="Calibri" w:eastAsia="Calibri" w:hAnsi="Calibri"/>
          <w:b/>
          <w:bCs/>
          <w:color w:val="0B2C4D"/>
          <w:sz w:val="21"/>
          <w:szCs w:val="21"/>
        </w:rPr>
        <w:t xml:space="preserve">Main region:</w:t>
      </w:r>
      <w:r>
        <w:rPr>
          <w:rFonts w:ascii="Calibri" w:cs="Calibri" w:eastAsia="Calibri" w:hAnsi="Calibri"/>
          <w:color w:val="1F2A33"/>
          <w:sz w:val="21"/>
          <w:szCs w:val="21"/>
        </w:rPr>
        <w:t xml:space="preserve"> result count, sort control, view toggle (grid / table / compare), then results. Grid is three-across at ≥1440px, two at ≥1024px, one on mobile.</w:t>
      </w:r>
    </w:p>
    <w:p>
      <w:pPr>
        <w:pStyle w:val="ListParagraph"/>
        <w:numPr>
          <w:ilvl w:val="0"/>
          <w:numId w:val="2"/>
        </w:numPr>
        <w:spacing w:after="70" w:line="268"/>
      </w:pPr>
      <w:r>
        <w:rPr>
          <w:rFonts w:ascii="Calibri" w:cs="Calibri" w:eastAsia="Calibri" w:hAnsi="Calibri"/>
          <w:b/>
          <w:bCs/>
          <w:color w:val="0B2C4D"/>
          <w:sz w:val="21"/>
          <w:szCs w:val="21"/>
        </w:rPr>
        <w:t xml:space="preserve">Compare mode:</w:t>
      </w:r>
      <w:r>
        <w:rPr>
          <w:rFonts w:ascii="Calibri" w:cs="Calibri" w:eastAsia="Calibri" w:hAnsi="Calibri"/>
          <w:color w:val="1F2A33"/>
          <w:sz w:val="21"/>
          <w:szCs w:val="21"/>
        </w:rPr>
        <w:t xml:space="preserve"> select up to four products to render a side-by-side attribute matrix (quality, freshness, contract SLA, consumers, cost, agents attached, overlap with each other).</w:t>
      </w:r>
    </w:p>
    <w:p>
      <w:pPr>
        <w:pStyle w:val="ListParagraph"/>
        <w:numPr>
          <w:ilvl w:val="0"/>
          <w:numId w:val="2"/>
        </w:numPr>
        <w:spacing w:after="70" w:line="268"/>
      </w:pPr>
      <w:r>
        <w:rPr>
          <w:rFonts w:ascii="Calibri" w:cs="Calibri" w:eastAsia="Calibri" w:hAnsi="Calibri"/>
          <w:b/>
          <w:bCs/>
          <w:color w:val="0B2C4D"/>
          <w:sz w:val="21"/>
          <w:szCs w:val="21"/>
        </w:rPr>
        <w:t xml:space="preserve">Empty state:</w:t>
      </w:r>
      <w:r>
        <w:rPr>
          <w:rFonts w:ascii="Calibri" w:cs="Calibri" w:eastAsia="Calibri" w:hAnsi="Calibri"/>
          <w:color w:val="1F2A33"/>
          <w:sz w:val="21"/>
          <w:szCs w:val="21"/>
        </w:rPr>
        <w:t xml:space="preserve"> never a dead end. Zero results renders the nearest semantic matches, the top three related demand-board entries, and a primary CTA to file a new-supply request pre-filled with the query.</w:t>
      </w:r>
    </w:p>
    <w:p>
      <w:pPr>
        <w:pStyle w:val="Heading2"/>
        <w:spacing w:after="120" w:before="280"/>
      </w:pPr>
      <w:r>
        <w:rPr>
          <w:rFonts w:ascii="Calibri" w:cs="Calibri" w:eastAsia="Calibri" w:hAnsi="Calibri"/>
          <w:b/>
          <w:bCs/>
          <w:color w:val="117A8B"/>
          <w:sz w:val="25"/>
          <w:szCs w:val="25"/>
        </w:rPr>
        <w:t xml:space="preserve">7.2 Facets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Facet</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Values / behaviour</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Industry</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12 industry values from the taxonomy; multi-select</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Business domain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10 domain values; multi-select</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Archetype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Source-aligned, Aggregate, Consumer-aligned, Feature, Document corpus, Reference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Certification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 Published · Beta · Deprecated. Deprecated hidden by default with a visible toggle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Quality score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Range slider over the 0–100 composite, with band shortcuts (≥90 Exemplary, 75–89 Healthy, 60–74 Watch, &lt;60 At Risk)</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Freshness</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Real-time · Hourly · Daily · Weekly · Monthly, evaluated against the contract, not the schedule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Sensitivity</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Public · Internal · Confidential · Restricted</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Access status</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 have access · Request required · Pre-approved for my role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Consumption surface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SQL · REST · MCP · Streaming · File · Semantic view</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Agent-enabled</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Boolean — has at least one live agent attached</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Owner / domain team</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Type-ahead over the owner directory</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Adoption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Consumer-count bands and 90-day adoption trend direction</w:t>
            </w:r>
          </w:p>
        </w:tc>
      </w:tr>
    </w:tbl>
    <w:p>
      <w:pPr>
        <w:pStyle w:val="Heading2"/>
        <w:spacing w:after="120" w:before="280"/>
      </w:pPr>
      <w:r>
        <w:rPr>
          <w:rFonts w:ascii="Calibri" w:cs="Calibri" w:eastAsia="Calibri" w:hAnsi="Calibri"/>
          <w:b/>
          <w:bCs/>
          <w:color w:val="117A8B"/>
          <w:sz w:val="25"/>
          <w:szCs w:val="25"/>
        </w:rPr>
        <w:t xml:space="preserve">7.3 Card Anatomy</w:t>
      </w:r>
    </w:p>
    <w:p>
      <w:pPr>
        <w:spacing w:after="120" w:line="276"/>
        <w:jc w:val="left"/>
      </w:pPr>
      <w:r>
        <w:rPr>
          <w:rFonts w:ascii="Calibri" w:cs="Calibri" w:eastAsia="Calibri" w:hAnsi="Calibri"/>
          <w:b w:val="false"/>
          <w:bCs w:val="false"/>
          <w:i w:val="false"/>
          <w:iCs w:val="false"/>
          <w:color w:val="1F2A33"/>
          <w:sz w:val="21"/>
          <w:szCs w:val="21"/>
        </w:rPr>
        <w:t xml:space="preserve">Twelve elements, fixed positions, no exceptions — consistency across cards is what makes the grid scannable.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613"/>
        <w:gridCol w:w="8467"/>
      </w:tblGrid>
      <w:tr>
        <w:trPr>
          <w:tblHeader/>
        </w:trPr>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Zone</w:t>
            </w:r>
          </w:p>
        </w:tc>
        <w:tc>
          <w:tcPr>
            <w:tcW w:type="dxa" w:w="8467"/>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Elements</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Header</w:t>
            </w:r>
          </w:p>
        </w:tc>
        <w:tc>
          <w:tcPr>
            <w:tcW w:type="dxa" w:w="846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Product name (18px semibold) · certification mark · sensitivity chip</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Sub-header</w:t>
            </w:r>
          </w:p>
        </w:tc>
        <w:tc>
          <w:tcPr>
            <w:tcW w:type="dxa" w:w="846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Industry chip · domain chip · archetype chip</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Body</w:t>
            </w:r>
          </w:p>
        </w:tc>
        <w:tc>
          <w:tcPr>
            <w:tcW w:type="dxa" w:w="846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One-line purpose statement, hard-truncated at 120 characters</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Metric row</w:t>
            </w:r>
          </w:p>
        </w:tc>
        <w:tc>
          <w:tcPr>
            <w:tcW w:type="dxa" w:w="846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score ring (colour-banded) · freshness pill showing time since last successful load against SLA · consumer count (90-day active) · monthly query count</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KPI strip</w:t>
            </w:r>
          </w:p>
        </w:tc>
        <w:tc>
          <w:tcPr>
            <w:tcW w:type="dxa" w:w="846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Up to three certified KPI names this product serves, as chips</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strip</w:t>
            </w:r>
          </w:p>
        </w:tc>
        <w:tc>
          <w:tcPr>
            <w:tcW w:type="dxa" w:w="846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Avatars of up to three attached agents with an overflow counter</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Footer</w:t>
            </w:r>
          </w:p>
        </w:tc>
        <w:tc>
          <w:tcPr>
            <w:tcW w:type="dxa" w:w="846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Owner avatar and team name · last updated · primary action (Request access / Open) · secondary action (Try an agent)</w:t>
            </w:r>
          </w:p>
        </w:tc>
      </w:tr>
    </w:tbl>
    <w:p>
      <w:pPr>
        <w:pStyle w:val="Heading2"/>
        <w:spacing w:after="120" w:before="280"/>
      </w:pPr>
      <w:r>
        <w:rPr>
          <w:rFonts w:ascii="Calibri" w:cs="Calibri" w:eastAsia="Calibri" w:hAnsi="Calibri"/>
          <w:b/>
          <w:bCs/>
          <w:color w:val="117A8B"/>
          <w:sz w:val="25"/>
          <w:szCs w:val="25"/>
        </w:rPr>
        <w:t xml:space="preserve">7.4 Ranking &amp; Search</w:t>
      </w:r>
    </w:p>
    <w:p>
      <w:pPr>
        <w:spacing w:after="120" w:line="276"/>
        <w:jc w:val="left"/>
      </w:pPr>
      <w:r>
        <w:rPr>
          <w:rFonts w:ascii="Calibri" w:cs="Calibri" w:eastAsia="Calibri" w:hAnsi="Calibri"/>
          <w:b w:val="false"/>
          <w:bCs w:val="false"/>
          <w:i w:val="false"/>
          <w:iCs w:val="false"/>
          <w:color w:val="1F2A33"/>
          <w:sz w:val="21"/>
          <w:szCs w:val="21"/>
        </w:rPr>
        <w:t xml:space="preserve">Default ordering is a relevance function whose coefficients are stored in the ranking rubric table and tunable per tenant without a release:</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score = w1 · semantic_match(query, name+purpose+kpi_definitions)</w:t>
            </w:r>
          </w:p>
          <w:p>
            <w:pPr>
              <w:spacing w:after="0" w:line="240"/>
            </w:pPr>
            <w:r>
              <w:rPr>
                <w:rFonts w:ascii="Consolas" w:cs="Consolas" w:eastAsia="Consolas" w:hAnsi="Consolas"/>
                <w:color w:val="16323F"/>
                <w:sz w:val="16"/>
                <w:szCs w:val="16"/>
              </w:rPr>
              <w:t xml:space="preserve">      + w2 · normalized(quality_composite)</w:t>
            </w:r>
          </w:p>
          <w:p>
            <w:pPr>
              <w:spacing w:after="0" w:line="240"/>
            </w:pPr>
            <w:r>
              <w:rPr>
                <w:rFonts w:ascii="Consolas" w:cs="Consolas" w:eastAsia="Consolas" w:hAnsi="Consolas"/>
                <w:color w:val="16323F"/>
                <w:sz w:val="16"/>
                <w:szCs w:val="16"/>
              </w:rPr>
              <w:t xml:space="preserve">      + w3 · normalized(active_consumers_90d)</w:t>
            </w:r>
          </w:p>
          <w:p>
            <w:pPr>
              <w:spacing w:after="0" w:line="240"/>
            </w:pPr>
            <w:r>
              <w:rPr>
                <w:rFonts w:ascii="Consolas" w:cs="Consolas" w:eastAsia="Consolas" w:hAnsi="Consolas"/>
                <w:color w:val="16323F"/>
                <w:sz w:val="16"/>
                <w:szCs w:val="16"/>
              </w:rPr>
              <w:t xml:space="preserve">      + w4 · certification_multiplier          -- certified 1.0, published 0.8, beta 0.5</w:t>
            </w:r>
          </w:p>
          <w:p>
            <w:pPr>
              <w:spacing w:after="0" w:line="240"/>
            </w:pPr>
            <w:r>
              <w:rPr>
                <w:rFonts w:ascii="Consolas" w:cs="Consolas" w:eastAsia="Consolas" w:hAnsi="Consolas"/>
                <w:color w:val="16323F"/>
                <w:sz w:val="16"/>
                <w:szCs w:val="16"/>
              </w:rPr>
              <w:t xml:space="preserve">      + w5 · peer_affinity(user.org_unit)      -- adoption by the user’s organizational unit</w:t>
            </w:r>
          </w:p>
          <w:p>
            <w:pPr>
              <w:spacing w:after="0" w:line="240"/>
            </w:pPr>
            <w:r>
              <w:rPr>
                <w:rFonts w:ascii="Consolas" w:cs="Consolas" w:eastAsia="Consolas" w:hAnsi="Consolas"/>
                <w:color w:val="16323F"/>
                <w:sz w:val="16"/>
                <w:szCs w:val="16"/>
              </w:rPr>
              <w:t xml:space="preserve">      - w6 · staleness_penalty(days_since_contract_review)</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Defaults (rubric v1.0): w1 0.35, w2 0.20, w3 0.15, w4 0.15, w5 0.10, w6 0.05</w:t>
            </w:r>
          </w:p>
        </w:tc>
      </w:tr>
    </w:tbl>
    <w:p>
      <w:pPr>
        <w:spacing w:after="120" w:line="276"/>
        <w:jc w:val="left"/>
      </w:pPr>
      <w:r>
        <w:rPr>
          <w:rFonts w:ascii="Calibri" w:cs="Calibri" w:eastAsia="Calibri" w:hAnsi="Calibri"/>
          <w:b w:val="false"/>
          <w:bCs w:val="false"/>
          <w:i w:val="false"/>
          <w:iCs w:val="false"/>
          <w:color w:val="1F2A33"/>
          <w:sz w:val="21"/>
          <w:szCs w:val="21"/>
        </w:rPr>
        <w:t xml:space="preserve">Semantic matching runs over an embedding index covering product names, purpose statements, certified KPI definitions, column business names and glossary synonyms. Lexical matching runs in parallel; results are fused with reciprocal rank fusion so exact-name searches never lose to semantic neighbours.</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8. Data Product Detail Specification</w:t>
      </w:r>
    </w:p>
    <w:p>
      <w:pPr>
        <w:spacing w:after="120" w:line="276"/>
        <w:jc w:val="left"/>
      </w:pPr>
      <w:r>
        <w:rPr>
          <w:rFonts w:ascii="Calibri" w:cs="Calibri" w:eastAsia="Calibri" w:hAnsi="Calibri"/>
          <w:b w:val="false"/>
          <w:bCs w:val="false"/>
          <w:i w:val="false"/>
          <w:iCs w:val="false"/>
          <w:color w:val="1F2A33"/>
          <w:sz w:val="21"/>
          <w:szCs w:val="21"/>
        </w:rPr>
        <w:t xml:space="preserve">Eight tabs. The header and right rail persist across all of them so the consumer can act from any tab.</w:t>
      </w:r>
    </w:p>
    <w:p>
      <w:pPr>
        <w:pStyle w:val="Heading2"/>
        <w:spacing w:after="120" w:before="280"/>
      </w:pPr>
      <w:r>
        <w:rPr>
          <w:rFonts w:ascii="Calibri" w:cs="Calibri" w:eastAsia="Calibri" w:hAnsi="Calibri"/>
          <w:b/>
          <w:bCs/>
          <w:color w:val="117A8B"/>
          <w:sz w:val="25"/>
          <w:szCs w:val="25"/>
        </w:rPr>
        <w:t xml:space="preserve">8.1 Persistent Header</w:t>
      </w:r>
    </w:p>
    <w:p>
      <w:pPr>
        <w:pStyle w:val="ListParagraph"/>
        <w:numPr>
          <w:ilvl w:val="0"/>
          <w:numId w:val="2"/>
        </w:numPr>
        <w:spacing w:after="70" w:line="268"/>
      </w:pPr>
      <w:r>
        <w:rPr>
          <w:rFonts w:ascii="Calibri" w:cs="Calibri" w:eastAsia="Calibri" w:hAnsi="Calibri"/>
          <w:color w:val="1F2A33"/>
          <w:sz w:val="21"/>
          <w:szCs w:val="21"/>
        </w:rPr>
        <w:t xml:space="preserve">Product name, version, certification mark, sensitivity tier, deprecation banner if applicable.</w:t>
      </w:r>
    </w:p>
    <w:p>
      <w:pPr>
        <w:pStyle w:val="ListParagraph"/>
        <w:numPr>
          <w:ilvl w:val="0"/>
          <w:numId w:val="2"/>
        </w:numPr>
        <w:spacing w:after="70" w:line="268"/>
      </w:pPr>
      <w:r>
        <w:rPr>
          <w:rFonts w:ascii="Calibri" w:cs="Calibri" w:eastAsia="Calibri" w:hAnsi="Calibri"/>
          <w:color w:val="1F2A33"/>
          <w:sz w:val="21"/>
          <w:szCs w:val="21"/>
        </w:rPr>
        <w:t xml:space="preserve">Owner block: named individual, team, escalation contact, on-call rotation link, and time since the owner last reviewed the listing.</w:t>
      </w:r>
    </w:p>
    <w:p>
      <w:pPr>
        <w:pStyle w:val="ListParagraph"/>
        <w:numPr>
          <w:ilvl w:val="0"/>
          <w:numId w:val="2"/>
        </w:numPr>
        <w:spacing w:after="70" w:line="268"/>
      </w:pPr>
      <w:r>
        <w:rPr>
          <w:rFonts w:ascii="Calibri" w:cs="Calibri" w:eastAsia="Calibri" w:hAnsi="Calibri"/>
          <w:color w:val="1F2A33"/>
          <w:sz w:val="21"/>
          <w:szCs w:val="21"/>
        </w:rPr>
        <w:t xml:space="preserve">Five headline metrics: quality composite, freshness against SLA, active consumers (90d), monthly queries, and contract conformance percentage.</w:t>
      </w:r>
    </w:p>
    <w:p>
      <w:pPr>
        <w:pStyle w:val="ListParagraph"/>
        <w:numPr>
          <w:ilvl w:val="0"/>
          <w:numId w:val="2"/>
        </w:numPr>
        <w:spacing w:after="70" w:line="268"/>
      </w:pPr>
      <w:r>
        <w:rPr>
          <w:rFonts w:ascii="Calibri" w:cs="Calibri" w:eastAsia="Calibri" w:hAnsi="Calibri"/>
          <w:color w:val="1F2A33"/>
          <w:sz w:val="21"/>
          <w:szCs w:val="21"/>
        </w:rPr>
        <w:t xml:space="preserve">Right rail actions: Request Access · Try an Agent · Request Enhancement · Subscribe to Changes · Copy Endpoint · Add to Comparison · Export Listing (PDF).</w:t>
      </w:r>
    </w:p>
    <w:p>
      <w:pPr>
        <w:pStyle w:val="Heading2"/>
        <w:spacing w:after="120" w:before="280"/>
      </w:pPr>
      <w:r>
        <w:rPr>
          <w:rFonts w:ascii="Calibri" w:cs="Calibri" w:eastAsia="Calibri" w:hAnsi="Calibri"/>
          <w:b/>
          <w:bCs/>
          <w:color w:val="117A8B"/>
          <w:sz w:val="25"/>
          <w:szCs w:val="25"/>
        </w:rPr>
        <w:t xml:space="preserve">8.2 Tab 1 — Overview</w:t>
      </w:r>
    </w:p>
    <w:p>
      <w:pPr>
        <w:pStyle w:val="ListParagraph"/>
        <w:numPr>
          <w:ilvl w:val="0"/>
          <w:numId w:val="2"/>
        </w:numPr>
        <w:spacing w:after="70" w:line="268"/>
      </w:pPr>
      <w:r>
        <w:rPr>
          <w:rFonts w:ascii="Calibri" w:cs="Calibri" w:eastAsia="Calibri" w:hAnsi="Calibri"/>
          <w:b/>
          <w:bCs/>
          <w:color w:val="0B2C4D"/>
          <w:sz w:val="21"/>
          <w:szCs w:val="21"/>
        </w:rPr>
        <w:t xml:space="preserve">Purpose and business context</w:t>
      </w:r>
      <w:r>
        <w:rPr>
          <w:rFonts w:ascii="Calibri" w:cs="Calibri" w:eastAsia="Calibri" w:hAnsi="Calibri"/>
          <w:color w:val="1F2A33"/>
          <w:sz w:val="21"/>
          <w:szCs w:val="21"/>
        </w:rPr>
        <w:t xml:space="preserve"> — what decisions this product supports, written for a business reader.</w:t>
      </w:r>
    </w:p>
    <w:p>
      <w:pPr>
        <w:pStyle w:val="ListParagraph"/>
        <w:numPr>
          <w:ilvl w:val="0"/>
          <w:numId w:val="2"/>
        </w:numPr>
        <w:spacing w:after="70" w:line="268"/>
      </w:pPr>
      <w:r>
        <w:rPr>
          <w:rFonts w:ascii="Calibri" w:cs="Calibri" w:eastAsia="Calibri" w:hAnsi="Calibri"/>
          <w:b/>
          <w:bCs/>
          <w:color w:val="0B2C4D"/>
          <w:sz w:val="21"/>
          <w:szCs w:val="21"/>
        </w:rPr>
        <w:t xml:space="preserve">Certified KPIs served</w:t>
      </w:r>
      <w:r>
        <w:rPr>
          <w:rFonts w:ascii="Calibri" w:cs="Calibri" w:eastAsia="Calibri" w:hAnsi="Calibri"/>
          <w:color w:val="1F2A33"/>
          <w:sz w:val="21"/>
          <w:szCs w:val="21"/>
        </w:rPr>
        <w:t xml:space="preserve"> — each with its single authoritative definition, calculation expression, grain, owner and last review date. One definition per KPI is enforced: a second definition for the same KPI name is a blocking publish error.</w:t>
      </w:r>
    </w:p>
    <w:p>
      <w:pPr>
        <w:pStyle w:val="ListParagraph"/>
        <w:numPr>
          <w:ilvl w:val="0"/>
          <w:numId w:val="2"/>
        </w:numPr>
        <w:spacing w:after="70" w:line="268"/>
      </w:pPr>
      <w:r>
        <w:rPr>
          <w:rFonts w:ascii="Calibri" w:cs="Calibri" w:eastAsia="Calibri" w:hAnsi="Calibri"/>
          <w:b/>
          <w:bCs/>
          <w:color w:val="0B2C4D"/>
          <w:sz w:val="21"/>
          <w:szCs w:val="21"/>
        </w:rPr>
        <w:t xml:space="preserve">Grain, coverage and history</w:t>
      </w:r>
      <w:r>
        <w:rPr>
          <w:rFonts w:ascii="Calibri" w:cs="Calibri" w:eastAsia="Calibri" w:hAnsi="Calibri"/>
          <w:color w:val="1F2A33"/>
          <w:sz w:val="21"/>
          <w:szCs w:val="21"/>
        </w:rPr>
        <w:t xml:space="preserve"> — declared grain, entity coverage, history depth, retention policy, and known exclusions stated explicitly.</w:t>
      </w:r>
    </w:p>
    <w:p>
      <w:pPr>
        <w:pStyle w:val="ListParagraph"/>
        <w:numPr>
          <w:ilvl w:val="0"/>
          <w:numId w:val="2"/>
        </w:numPr>
        <w:spacing w:after="70" w:line="268"/>
      </w:pPr>
      <w:r>
        <w:rPr>
          <w:rFonts w:ascii="Calibri" w:cs="Calibri" w:eastAsia="Calibri" w:hAnsi="Calibri"/>
          <w:b/>
          <w:bCs/>
          <w:color w:val="0B2C4D"/>
          <w:sz w:val="21"/>
          <w:szCs w:val="21"/>
        </w:rPr>
        <w:t xml:space="preserve">Update cadence</w:t>
      </w:r>
      <w:r>
        <w:rPr>
          <w:rFonts w:ascii="Calibri" w:cs="Calibri" w:eastAsia="Calibri" w:hAnsi="Calibri"/>
          <w:color w:val="1F2A33"/>
          <w:sz w:val="21"/>
          <w:szCs w:val="21"/>
        </w:rPr>
        <w:t xml:space="preserve"> — schedule, dependency chain, and typical completion time with variance.</w:t>
      </w:r>
    </w:p>
    <w:p>
      <w:pPr>
        <w:pStyle w:val="ListParagraph"/>
        <w:numPr>
          <w:ilvl w:val="0"/>
          <w:numId w:val="2"/>
        </w:numPr>
        <w:spacing w:after="70" w:line="268"/>
      </w:pPr>
      <w:r>
        <w:rPr>
          <w:rFonts w:ascii="Calibri" w:cs="Calibri" w:eastAsia="Calibri" w:hAnsi="Calibri"/>
          <w:b/>
          <w:bCs/>
          <w:color w:val="0B2C4D"/>
          <w:sz w:val="21"/>
          <w:szCs w:val="21"/>
        </w:rPr>
        <w:t xml:space="preserve">Attached agents</w:t>
      </w:r>
      <w:r>
        <w:rPr>
          <w:rFonts w:ascii="Calibri" w:cs="Calibri" w:eastAsia="Calibri" w:hAnsi="Calibri"/>
          <w:color w:val="1F2A33"/>
          <w:sz w:val="21"/>
          <w:szCs w:val="21"/>
        </w:rPr>
        <w:t xml:space="preserve"> — cards for every agent consuming this product, each with its capability statement and a direct link to its demo.</w:t>
      </w:r>
    </w:p>
    <w:p>
      <w:pPr>
        <w:pStyle w:val="ListParagraph"/>
        <w:numPr>
          <w:ilvl w:val="0"/>
          <w:numId w:val="2"/>
        </w:numPr>
        <w:spacing w:after="70" w:line="268"/>
      </w:pPr>
      <w:r>
        <w:rPr>
          <w:rFonts w:ascii="Calibri" w:cs="Calibri" w:eastAsia="Calibri" w:hAnsi="Calibri"/>
          <w:b/>
          <w:bCs/>
          <w:color w:val="0B2C4D"/>
          <w:sz w:val="21"/>
          <w:szCs w:val="21"/>
        </w:rPr>
        <w:t xml:space="preserve">Known limitations</w:t>
      </w:r>
      <w:r>
        <w:rPr>
          <w:rFonts w:ascii="Calibri" w:cs="Calibri" w:eastAsia="Calibri" w:hAnsi="Calibri"/>
          <w:color w:val="1F2A33"/>
          <w:sz w:val="21"/>
          <w:szCs w:val="21"/>
        </w:rPr>
        <w:t xml:space="preserve"> — a mandatory, owner-authored field. Publishing is blocked while it is empty; "none" is not an accepted value.</w:t>
      </w:r>
    </w:p>
    <w:p>
      <w:pPr>
        <w:pStyle w:val="Heading2"/>
        <w:spacing w:after="120" w:before="280"/>
      </w:pPr>
      <w:r>
        <w:rPr>
          <w:rFonts w:ascii="Calibri" w:cs="Calibri" w:eastAsia="Calibri" w:hAnsi="Calibri"/>
          <w:b/>
          <w:bCs/>
          <w:color w:val="117A8B"/>
          <w:sz w:val="25"/>
          <w:szCs w:val="25"/>
        </w:rPr>
        <w:t xml:space="preserve">8.3 Tab 2 — Schema &amp; Semantics</w:t>
      </w:r>
    </w:p>
    <w:p>
      <w:pPr>
        <w:pStyle w:val="ListParagraph"/>
        <w:numPr>
          <w:ilvl w:val="0"/>
          <w:numId w:val="2"/>
        </w:numPr>
        <w:spacing w:after="70" w:line="268"/>
      </w:pPr>
      <w:r>
        <w:rPr>
          <w:rFonts w:ascii="Calibri" w:cs="Calibri" w:eastAsia="Calibri" w:hAnsi="Calibri"/>
          <w:color w:val="1F2A33"/>
          <w:sz w:val="21"/>
          <w:szCs w:val="21"/>
        </w:rPr>
        <w:t xml:space="preserve">Column table: physical name, business name, type, nullability, classification tags, description, source lineage reference, and the DQ rules attached to that column.</w:t>
      </w:r>
    </w:p>
    <w:p>
      <w:pPr>
        <w:pStyle w:val="ListParagraph"/>
        <w:numPr>
          <w:ilvl w:val="0"/>
          <w:numId w:val="2"/>
        </w:numPr>
        <w:spacing w:after="70" w:line="268"/>
      </w:pPr>
      <w:r>
        <w:rPr>
          <w:rFonts w:ascii="Calibri" w:cs="Calibri" w:eastAsia="Calibri" w:hAnsi="Calibri"/>
          <w:color w:val="1F2A33"/>
          <w:sz w:val="21"/>
          <w:szCs w:val="21"/>
        </w:rPr>
        <w:t xml:space="preserve">Classification tags are inherited from source and rendered read-only in this view; they are changed at source and propagate mechanically.</w:t>
      </w:r>
    </w:p>
    <w:p>
      <w:pPr>
        <w:pStyle w:val="ListParagraph"/>
        <w:numPr>
          <w:ilvl w:val="0"/>
          <w:numId w:val="2"/>
        </w:numPr>
        <w:spacing w:after="70" w:line="268"/>
      </w:pPr>
      <w:r>
        <w:rPr>
          <w:rFonts w:ascii="Calibri" w:cs="Calibri" w:eastAsia="Calibri" w:hAnsi="Calibri"/>
          <w:color w:val="1F2A33"/>
          <w:sz w:val="21"/>
          <w:szCs w:val="21"/>
        </w:rPr>
        <w:t xml:space="preserve">Semantic layer view: dimensions, measures, hierarchies, joins and synonyms as exposed to natural-language querying.</w:t>
      </w:r>
    </w:p>
    <w:p>
      <w:pPr>
        <w:pStyle w:val="ListParagraph"/>
        <w:numPr>
          <w:ilvl w:val="0"/>
          <w:numId w:val="2"/>
        </w:numPr>
        <w:spacing w:after="70" w:line="268"/>
      </w:pPr>
      <w:r>
        <w:rPr>
          <w:rFonts w:ascii="Calibri" w:cs="Calibri" w:eastAsia="Calibri" w:hAnsi="Calibri"/>
          <w:color w:val="1F2A33"/>
          <w:sz w:val="21"/>
          <w:szCs w:val="21"/>
        </w:rPr>
        <w:t xml:space="preserve">Sample values render only for Public and Internal tiers and only where the column carries no sensitivity tag; otherwise a masked pattern with an explanatory tooltip is displayed.</w:t>
      </w:r>
    </w:p>
    <w:p>
      <w:pPr>
        <w:pStyle w:val="ListParagraph"/>
        <w:numPr>
          <w:ilvl w:val="0"/>
          <w:numId w:val="2"/>
        </w:numPr>
        <w:spacing w:after="70" w:line="268"/>
      </w:pPr>
      <w:r>
        <w:rPr>
          <w:rFonts w:ascii="Calibri" w:cs="Calibri" w:eastAsia="Calibri" w:hAnsi="Calibri"/>
          <w:color w:val="1F2A33"/>
          <w:sz w:val="21"/>
          <w:szCs w:val="21"/>
        </w:rPr>
        <w:t xml:space="preserve">Schema evolution timeline showing every version, the change type (additive, breaking, deprecating), the date, and the consumer notification record.</w:t>
      </w:r>
    </w:p>
    <w:p>
      <w:pPr>
        <w:pStyle w:val="Heading2"/>
        <w:spacing w:after="120" w:before="280"/>
      </w:pPr>
      <w:r>
        <w:rPr>
          <w:rFonts w:ascii="Calibri" w:cs="Calibri" w:eastAsia="Calibri" w:hAnsi="Calibri"/>
          <w:b/>
          <w:bCs/>
          <w:color w:val="117A8B"/>
          <w:sz w:val="25"/>
          <w:szCs w:val="25"/>
        </w:rPr>
        <w:t xml:space="preserve">8.4 Tab 3 — Data Quality</w:t>
      </w:r>
    </w:p>
    <w:p>
      <w:pPr>
        <w:spacing w:after="120" w:line="276"/>
        <w:jc w:val="left"/>
      </w:pPr>
      <w:r>
        <w:rPr>
          <w:rFonts w:ascii="Calibri" w:cs="Calibri" w:eastAsia="Calibri" w:hAnsi="Calibri"/>
          <w:b w:val="false"/>
          <w:bCs w:val="false"/>
          <w:i w:val="false"/>
          <w:iCs w:val="false"/>
          <w:color w:val="1F2A33"/>
          <w:sz w:val="21"/>
          <w:szCs w:val="21"/>
        </w:rPr>
        <w:t xml:space="preserve">The composite quality score is computed from six dimensions. Weights and thresholds are rubric data, versioned, and overridable per archetype — a document corpus is not scored on referential integrity.</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1613"/>
        <w:gridCol w:w="6451"/>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Dimension</w:t>
            </w:r>
          </w:p>
        </w:tc>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Default weight</w:t>
            </w:r>
          </w:p>
        </w:tc>
        <w:tc>
          <w:tcPr>
            <w:tcW w:type="dxa" w:w="645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Measurement</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Completeness</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20%</w:t>
            </w:r>
          </w:p>
        </w:tc>
        <w:tc>
          <w:tcPr>
            <w:tcW w:type="dxa" w:w="645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Null and default-value rates on required fields versus contract thresholds</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Accuracy</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20%</w:t>
            </w:r>
          </w:p>
        </w:tc>
        <w:tc>
          <w:tcPr>
            <w:tcW w:type="dxa" w:w="645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Conformance to reference data, validation rules and reconciliation against authoritative counts</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Freshness</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20%</w:t>
            </w:r>
          </w:p>
        </w:tc>
        <w:tc>
          <w:tcPr>
            <w:tcW w:type="dxa" w:w="645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Actual load completion versus contract SLA; measured per partition, not per table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Consistency</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15%</w:t>
            </w:r>
          </w:p>
        </w:tc>
        <w:tc>
          <w:tcPr>
            <w:tcW w:type="dxa" w:w="645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Cross-product agreement on shared entities and KPI values; referential integrity</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Validity</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15%</w:t>
            </w:r>
          </w:p>
        </w:tc>
        <w:tc>
          <w:tcPr>
            <w:tcW w:type="dxa" w:w="645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Domain, range, format and business-rule conformance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Uniqueness</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10%</w:t>
            </w:r>
          </w:p>
        </w:tc>
        <w:tc>
          <w:tcPr>
            <w:tcW w:type="dxa" w:w="645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Duplicate rate at the declared grain</w:t>
            </w:r>
          </w:p>
        </w:tc>
      </w:tr>
    </w:tbl>
    <w:p>
      <w:pPr>
        <w:spacing w:after="120" w:line="276"/>
        <w:jc w:val="left"/>
      </w:pPr>
      <w:r>
        <w:rPr>
          <w:rFonts w:ascii="Calibri" w:cs="Calibri" w:eastAsia="Calibri" w:hAnsi="Calibri"/>
          <w:b w:val="false"/>
          <w:bCs w:val="false"/>
          <w:i w:val="false"/>
          <w:iCs w:val="false"/>
          <w:color w:val="1F2A33"/>
          <w:sz w:val="21"/>
          <w:szCs w:val="21"/>
        </w:rPr>
        <w:t xml:space="preserve">The tab renders: the composite with a 90-day trend line; a per-dimension breakdown with the rules contributing to each; the full rule inventory with pass rates; open and recently closed incidents with MTTR; and an SLA conformance strip. Every rule is stored in the rule table with its threshold, severity and owner — no thresholds in pipeline code. Grade bands: ≥90 Exemplary, 75–89 Healthy, 60–74 Watch, 40–59 At Risk, &lt;40 Not Fit for Consumption. Below 40 the product is automatically flagged in the catalog and agents attached to it display a trust warning.</w:t>
      </w:r>
    </w:p>
    <w:p>
      <w:pPr>
        <w:pStyle w:val="Heading2"/>
        <w:spacing w:after="120" w:before="280"/>
      </w:pPr>
      <w:r>
        <w:rPr>
          <w:rFonts w:ascii="Calibri" w:cs="Calibri" w:eastAsia="Calibri" w:hAnsi="Calibri"/>
          <w:b/>
          <w:bCs/>
          <w:color w:val="117A8B"/>
          <w:sz w:val="25"/>
          <w:szCs w:val="25"/>
        </w:rPr>
        <w:t xml:space="preserve">8.5 Tab 4 — Data Contract</w:t>
      </w:r>
    </w:p>
    <w:p>
      <w:pPr>
        <w:spacing w:after="120" w:line="276"/>
        <w:jc w:val="left"/>
      </w:pPr>
      <w:r>
        <w:rPr>
          <w:rFonts w:ascii="Calibri" w:cs="Calibri" w:eastAsia="Calibri" w:hAnsi="Calibri"/>
          <w:b w:val="false"/>
          <w:bCs w:val="false"/>
          <w:i w:val="false"/>
          <w:iCs w:val="false"/>
          <w:color w:val="1F2A33"/>
          <w:sz w:val="21"/>
          <w:szCs w:val="21"/>
        </w:rPr>
        <w:t xml:space="preserve">The contract is the enforceable promise the product makes to consumers. It is authored as YAML, versioned, and rendered in this tab both as a readable summary and as raw source.</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contract:</w:t>
            </w:r>
          </w:p>
          <w:p>
            <w:pPr>
              <w:spacing w:after="0" w:line="240"/>
            </w:pPr>
            <w:r>
              <w:rPr>
                <w:rFonts w:ascii="Consolas" w:cs="Consolas" w:eastAsia="Consolas" w:hAnsi="Consolas"/>
                <w:color w:val="16323F"/>
                <w:sz w:val="16"/>
                <w:szCs w:val="16"/>
              </w:rPr>
              <w:t xml:space="preserve">  product_id: DP-TEL-001</w:t>
            </w:r>
          </w:p>
          <w:p>
            <w:pPr>
              <w:spacing w:after="0" w:line="240"/>
            </w:pPr>
            <w:r>
              <w:rPr>
                <w:rFonts w:ascii="Consolas" w:cs="Consolas" w:eastAsia="Consolas" w:hAnsi="Consolas"/>
                <w:color w:val="16323F"/>
                <w:sz w:val="16"/>
                <w:szCs w:val="16"/>
              </w:rPr>
              <w:t xml:space="preserve">  version: 3.2.0</w:t>
            </w:r>
          </w:p>
          <w:p>
            <w:pPr>
              <w:spacing w:after="0" w:line="240"/>
            </w:pPr>
            <w:r>
              <w:rPr>
                <w:rFonts w:ascii="Consolas" w:cs="Consolas" w:eastAsia="Consolas" w:hAnsi="Consolas"/>
                <w:color w:val="16323F"/>
                <w:sz w:val="16"/>
                <w:szCs w:val="16"/>
              </w:rPr>
              <w:t xml:space="preserve">  owner: { name: "R. Mehta", team: "Telecom Customer Domain", escalation: "#dp-telecom" }</w:t>
            </w:r>
          </w:p>
          <w:p>
            <w:pPr>
              <w:spacing w:after="0" w:line="240"/>
            </w:pPr>
            <w:r>
              <w:rPr>
                <w:rFonts w:ascii="Consolas" w:cs="Consolas" w:eastAsia="Consolas" w:hAnsi="Consolas"/>
                <w:color w:val="16323F"/>
                <w:sz w:val="16"/>
                <w:szCs w:val="16"/>
              </w:rPr>
              <w:t xml:space="preserve">  grain: "one row per subscriber per day"</w:t>
            </w:r>
          </w:p>
          <w:p>
            <w:pPr>
              <w:spacing w:after="0" w:line="240"/>
            </w:pPr>
            <w:r>
              <w:rPr>
                <w:rFonts w:ascii="Consolas" w:cs="Consolas" w:eastAsia="Consolas" w:hAnsi="Consolas"/>
                <w:color w:val="16323F"/>
                <w:sz w:val="16"/>
                <w:szCs w:val="16"/>
              </w:rPr>
              <w:t xml:space="preserve">  schema_stability: additive_only          # breaking changes require major version + 60d notice</w:t>
            </w:r>
          </w:p>
          <w:p>
            <w:pPr>
              <w:spacing w:after="0" w:line="240"/>
            </w:pPr>
            <w:r>
              <w:rPr>
                <w:rFonts w:ascii="Consolas" w:cs="Consolas" w:eastAsia="Consolas" w:hAnsi="Consolas"/>
                <w:color w:val="16323F"/>
                <w:sz w:val="16"/>
                <w:szCs w:val="16"/>
              </w:rPr>
              <w:t xml:space="preserve">  guarantees:</w:t>
            </w:r>
          </w:p>
          <w:p>
            <w:pPr>
              <w:spacing w:after="0" w:line="240"/>
            </w:pPr>
            <w:r>
              <w:rPr>
                <w:rFonts w:ascii="Consolas" w:cs="Consolas" w:eastAsia="Consolas" w:hAnsi="Consolas"/>
                <w:color w:val="16323F"/>
                <w:sz w:val="16"/>
                <w:szCs w:val="16"/>
              </w:rPr>
              <w:t xml:space="preserve">    freshness:     { target: "06:00 local", p95_minutes: 45, measured: per_partition }</w:t>
            </w:r>
          </w:p>
          <w:p>
            <w:pPr>
              <w:spacing w:after="0" w:line="240"/>
            </w:pPr>
            <w:r>
              <w:rPr>
                <w:rFonts w:ascii="Consolas" w:cs="Consolas" w:eastAsia="Consolas" w:hAnsi="Consolas"/>
                <w:color w:val="16323F"/>
                <w:sz w:val="16"/>
                <w:szCs w:val="16"/>
              </w:rPr>
              <w:t xml:space="preserve">    availability:  { target_pct: 99.5, window: monthly }</w:t>
            </w:r>
          </w:p>
          <w:p>
            <w:pPr>
              <w:spacing w:after="0" w:line="240"/>
            </w:pPr>
            <w:r>
              <w:rPr>
                <w:rFonts w:ascii="Consolas" w:cs="Consolas" w:eastAsia="Consolas" w:hAnsi="Consolas"/>
                <w:color w:val="16323F"/>
                <w:sz w:val="16"/>
                <w:szCs w:val="16"/>
              </w:rPr>
              <w:t xml:space="preserve">    completeness:  { required_fields_pct: 99.9 }</w:t>
            </w:r>
          </w:p>
          <w:p>
            <w:pPr>
              <w:spacing w:after="0" w:line="240"/>
            </w:pPr>
            <w:r>
              <w:rPr>
                <w:rFonts w:ascii="Consolas" w:cs="Consolas" w:eastAsia="Consolas" w:hAnsi="Consolas"/>
                <w:color w:val="16323F"/>
                <w:sz w:val="16"/>
                <w:szCs w:val="16"/>
              </w:rPr>
              <w:t xml:space="preserve">    accuracy:      { reconciliation_variance_pct: 0.5, against: "billing_system_of_record" }</w:t>
            </w:r>
          </w:p>
          <w:p>
            <w:pPr>
              <w:spacing w:after="0" w:line="240"/>
            </w:pPr>
            <w:r>
              <w:rPr>
                <w:rFonts w:ascii="Consolas" w:cs="Consolas" w:eastAsia="Consolas" w:hAnsi="Consolas"/>
                <w:color w:val="16323F"/>
                <w:sz w:val="16"/>
                <w:szCs w:val="16"/>
              </w:rPr>
              <w:t xml:space="preserve">  deprecation_policy: { notice_days: 90, minimum_parallel_run_days: 30 }</w:t>
            </w:r>
          </w:p>
          <w:p>
            <w:pPr>
              <w:spacing w:after="0" w:line="240"/>
            </w:pPr>
            <w:r>
              <w:rPr>
                <w:rFonts w:ascii="Consolas" w:cs="Consolas" w:eastAsia="Consolas" w:hAnsi="Consolas"/>
                <w:color w:val="16323F"/>
                <w:sz w:val="16"/>
                <w:szCs w:val="16"/>
              </w:rPr>
              <w:t xml:space="preserve">  support: { hours: "24x5", p1_response_minutes: 30, on_call: "pagerduty://telecom-dp" }</w:t>
            </w:r>
          </w:p>
          <w:p>
            <w:pPr>
              <w:spacing w:after="0" w:line="240"/>
            </w:pPr>
            <w:r>
              <w:rPr>
                <w:rFonts w:ascii="Consolas" w:cs="Consolas" w:eastAsia="Consolas" w:hAnsi="Consolas"/>
                <w:color w:val="16323F"/>
                <w:sz w:val="16"/>
                <w:szCs w:val="16"/>
              </w:rPr>
              <w:t xml:space="preserve">  classification: { max_sensitivity: confidential, contains_pii: true, residency: ["US","EU"] }</w:t>
            </w:r>
          </w:p>
          <w:p>
            <w:pPr>
              <w:spacing w:after="0" w:line="240"/>
            </w:pPr>
            <w:r>
              <w:rPr>
                <w:rFonts w:ascii="Consolas" w:cs="Consolas" w:eastAsia="Consolas" w:hAnsi="Consolas"/>
                <w:color w:val="16323F"/>
                <w:sz w:val="16"/>
                <w:szCs w:val="16"/>
              </w:rPr>
              <w:t xml:space="preserve">  consumer_obligations:</w:t>
            </w:r>
          </w:p>
          <w:p>
            <w:pPr>
              <w:spacing w:after="0" w:line="240"/>
            </w:pPr>
            <w:r>
              <w:rPr>
                <w:rFonts w:ascii="Consolas" w:cs="Consolas" w:eastAsia="Consolas" w:hAnsi="Consolas"/>
                <w:color w:val="16323F"/>
                <w:sz w:val="16"/>
                <w:szCs w:val="16"/>
              </w:rPr>
              <w:t xml:space="preserve">    - "No redistribution outside the granted purpose"</w:t>
            </w:r>
          </w:p>
          <w:p>
            <w:pPr>
              <w:spacing w:after="0" w:line="240"/>
            </w:pPr>
            <w:r>
              <w:rPr>
                <w:rFonts w:ascii="Consolas" w:cs="Consolas" w:eastAsia="Consolas" w:hAnsi="Consolas"/>
                <w:color w:val="16323F"/>
                <w:sz w:val="16"/>
                <w:szCs w:val="16"/>
              </w:rPr>
              <w:t xml:space="preserve">    - "Re-derived KPIs must cite the certified definition ID"</w:t>
            </w:r>
          </w:p>
          <w:p>
            <w:pPr>
              <w:spacing w:after="0" w:line="240"/>
            </w:pPr>
            <w:r>
              <w:rPr>
                <w:rFonts w:ascii="Consolas" w:cs="Consolas" w:eastAsia="Consolas" w:hAnsi="Consolas"/>
                <w:color w:val="16323F"/>
                <w:sz w:val="16"/>
                <w:szCs w:val="16"/>
              </w:rPr>
              <w:t xml:space="preserve">  breach_process: "Auto-incident + consumer notification within 30 minutes of detection"</w:t>
            </w:r>
          </w:p>
        </w:tc>
      </w:tr>
    </w:tbl>
    <w:p>
      <w:pPr>
        <w:spacing w:after="120" w:line="276"/>
        <w:jc w:val="left"/>
      </w:pPr>
      <w:r>
        <w:rPr>
          <w:rFonts w:ascii="Calibri" w:cs="Calibri" w:eastAsia="Calibri" w:hAnsi="Calibri"/>
          <w:b w:val="false"/>
          <w:bCs w:val="false"/>
          <w:i w:val="false"/>
          <w:iCs w:val="false"/>
          <w:color w:val="1F2A33"/>
          <w:sz w:val="21"/>
          <w:szCs w:val="21"/>
        </w:rPr>
        <w:t xml:space="preserve">Rendered alongside the source: current conformance against each guarantee over 90 days, the breach history with root causes, the consumer notification log, and a diff view against any prior contract version.</w:t>
      </w:r>
    </w:p>
    <w:p>
      <w:pPr>
        <w:pStyle w:val="Heading2"/>
        <w:spacing w:after="120" w:before="280"/>
      </w:pPr>
      <w:r>
        <w:rPr>
          <w:rFonts w:ascii="Calibri" w:cs="Calibri" w:eastAsia="Calibri" w:hAnsi="Calibri"/>
          <w:b/>
          <w:bCs/>
          <w:color w:val="117A8B"/>
          <w:sz w:val="25"/>
          <w:szCs w:val="25"/>
        </w:rPr>
        <w:t xml:space="preserve">8.6 Tab 5 — Endpoints &amp; Consumption</w:t>
      </w:r>
    </w:p>
    <w:p>
      <w:pPr>
        <w:spacing w:after="120" w:line="276"/>
        <w:jc w:val="left"/>
      </w:pPr>
      <w:r>
        <w:rPr>
          <w:rFonts w:ascii="Calibri" w:cs="Calibri" w:eastAsia="Calibri" w:hAnsi="Calibri"/>
          <w:b w:val="false"/>
          <w:bCs w:val="false"/>
          <w:i w:val="false"/>
          <w:iCs w:val="false"/>
          <w:color w:val="1F2A33"/>
          <w:sz w:val="21"/>
          <w:szCs w:val="21"/>
        </w:rPr>
        <w:t xml:space="preserve">Specified in full in Section 9. The tab presents a copy-ready connection block per surface, the authentication method, rate limits, an example call, and a live "test my access" button that reports exactly which entitlement is missing when a call would fail.</w:t>
      </w:r>
    </w:p>
    <w:p>
      <w:pPr>
        <w:pStyle w:val="Heading2"/>
        <w:spacing w:after="120" w:before="280"/>
      </w:pPr>
      <w:r>
        <w:rPr>
          <w:rFonts w:ascii="Calibri" w:cs="Calibri" w:eastAsia="Calibri" w:hAnsi="Calibri"/>
          <w:b/>
          <w:bCs/>
          <w:color w:val="117A8B"/>
          <w:sz w:val="25"/>
          <w:szCs w:val="25"/>
        </w:rPr>
        <w:t xml:space="preserve">8.7 Tab 6 — Lineage &amp; Mesh</w:t>
      </w:r>
    </w:p>
    <w:p>
      <w:pPr>
        <w:pStyle w:val="ListParagraph"/>
        <w:numPr>
          <w:ilvl w:val="0"/>
          <w:numId w:val="2"/>
        </w:numPr>
        <w:spacing w:after="70" w:line="268"/>
      </w:pPr>
      <w:r>
        <w:rPr>
          <w:rFonts w:ascii="Calibri" w:cs="Calibri" w:eastAsia="Calibri" w:hAnsi="Calibri"/>
          <w:color w:val="1F2A33"/>
          <w:sz w:val="21"/>
          <w:szCs w:val="21"/>
        </w:rPr>
        <w:t xml:space="preserve">Upstream lineage to source systems, rendered at table level with column-level drill-down where the platform supports it.</w:t>
      </w:r>
    </w:p>
    <w:p>
      <w:pPr>
        <w:pStyle w:val="ListParagraph"/>
        <w:numPr>
          <w:ilvl w:val="0"/>
          <w:numId w:val="2"/>
        </w:numPr>
        <w:spacing w:after="70" w:line="268"/>
      </w:pPr>
      <w:r>
        <w:rPr>
          <w:rFonts w:ascii="Calibri" w:cs="Calibri" w:eastAsia="Calibri" w:hAnsi="Calibri"/>
          <w:color w:val="1F2A33"/>
          <w:sz w:val="21"/>
          <w:szCs w:val="21"/>
        </w:rPr>
        <w:t xml:space="preserve">Downstream consumers: products, agents, reports and models that depend on this product, with dependency criticality.</w:t>
      </w:r>
    </w:p>
    <w:p>
      <w:pPr>
        <w:pStyle w:val="ListParagraph"/>
        <w:numPr>
          <w:ilvl w:val="0"/>
          <w:numId w:val="2"/>
        </w:numPr>
        <w:spacing w:after="70" w:line="268"/>
      </w:pPr>
      <w:r>
        <w:rPr>
          <w:rFonts w:ascii="Calibri" w:cs="Calibri" w:eastAsia="Calibri" w:hAnsi="Calibri"/>
          <w:color w:val="1F2A33"/>
          <w:sz w:val="21"/>
          <w:szCs w:val="21"/>
        </w:rPr>
        <w:t xml:space="preserve">Mesh neighbourhood: sibling products sharing upstream sources, with the shared source set named and the overlap strength shown. Full mesh semantics in Section 16.</w:t>
      </w:r>
    </w:p>
    <w:p>
      <w:pPr>
        <w:pStyle w:val="ListParagraph"/>
        <w:numPr>
          <w:ilvl w:val="0"/>
          <w:numId w:val="2"/>
        </w:numPr>
        <w:spacing w:after="70" w:line="268"/>
      </w:pPr>
      <w:r>
        <w:rPr>
          <w:rFonts w:ascii="Calibri" w:cs="Calibri" w:eastAsia="Calibri" w:hAnsi="Calibri"/>
          <w:color w:val="1F2A33"/>
          <w:sz w:val="21"/>
          <w:szCs w:val="21"/>
        </w:rPr>
        <w:t xml:space="preserve">Impact analysis: "if this product breaks, what breaks" — the transitive downstream set with consumer counts, used to justify severity at incident time.</w:t>
      </w:r>
    </w:p>
    <w:p>
      <w:pPr>
        <w:pStyle w:val="Heading2"/>
        <w:spacing w:after="120" w:before="280"/>
      </w:pPr>
      <w:r>
        <w:rPr>
          <w:rFonts w:ascii="Calibri" w:cs="Calibri" w:eastAsia="Calibri" w:hAnsi="Calibri"/>
          <w:b/>
          <w:bCs/>
          <w:color w:val="117A8B"/>
          <w:sz w:val="25"/>
          <w:szCs w:val="25"/>
        </w:rPr>
        <w:t xml:space="preserve">8.8 Tab 7 — Consumption Patterns</w:t>
      </w:r>
    </w:p>
    <w:p>
      <w:pPr>
        <w:spacing w:after="120" w:line="276"/>
        <w:jc w:val="left"/>
      </w:pPr>
      <w:r>
        <w:rPr>
          <w:rFonts w:ascii="Calibri" w:cs="Calibri" w:eastAsia="Calibri" w:hAnsi="Calibri"/>
          <w:b w:val="false"/>
          <w:bCs w:val="false"/>
          <w:i w:val="false"/>
          <w:iCs w:val="false"/>
          <w:color w:val="1F2A33"/>
          <w:sz w:val="21"/>
          <w:szCs w:val="21"/>
        </w:rPr>
        <w:t xml:space="preserve">This tab answers the owner’s question — is anyone using this, and how — and the consumer’s question — is this load-bearing for people like me.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814"/>
        <w:gridCol w:w="8266"/>
      </w:tblGrid>
      <w:tr>
        <w:trPr>
          <w:tblHeader/>
        </w:trPr>
        <w:tc>
          <w:tcPr>
            <w:tcW w:type="dxa" w:w="18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Panel</w:t>
            </w:r>
          </w:p>
        </w:tc>
        <w:tc>
          <w:tcPr>
            <w:tcW w:type="dxa" w:w="826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Content</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Adoption curve</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Distinct consumers and query volume over 13 months, with certification and major-version markers annotated on the timeline</w:t>
            </w:r>
          </w:p>
        </w:tc>
      </w:tr>
      <w:tr>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Consumer mix</w:t>
            </w:r>
          </w:p>
        </w:tc>
        <w:tc>
          <w:tcPr>
            <w:tcW w:type="dxa" w:w="826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Breakdown by department, role and access tier; new versus returning consumers per month</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Surface mix</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Query share by SQL, REST, MCP, BI tool, agent and notebook — the key signal for where to invest next</w:t>
            </w:r>
          </w:p>
        </w:tc>
      </w:tr>
      <w:tr>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Query shape</w:t>
            </w:r>
          </w:p>
        </w:tc>
        <w:tc>
          <w:tcPr>
            <w:tcW w:type="dxa" w:w="826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Top 20 query patterns by frequency, most-selected columns, most-filtered columns, and columns never queried in 180 days (retirement candidates)</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Peak profile</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Hour-of-day and day-of-week heatmap with concurrency peaks, used for capacity planning</w:t>
            </w:r>
          </w:p>
        </w:tc>
      </w:tr>
      <w:tr>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 attribution</w:t>
            </w:r>
          </w:p>
        </w:tc>
        <w:tc>
          <w:tcPr>
            <w:tcW w:type="dxa" w:w="826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Compute and storage cost by consumer department, with cost per query trend</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consumption</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Share of access originating from agents versus humans, and which agents dominate</w:t>
            </w:r>
          </w:p>
        </w:tc>
      </w:tr>
      <w:tr>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Health of consumption</w:t>
            </w:r>
          </w:p>
        </w:tc>
        <w:tc>
          <w:tcPr>
            <w:tcW w:type="dxa" w:w="826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Failed query rate, permission-denied rate (a leading indicator of entitlement gaps), and abandoned-session rate</w:t>
            </w:r>
          </w:p>
        </w:tc>
      </w:tr>
    </w:tbl>
    <w:p>
      <w:pPr>
        <w:pStyle w:val="Heading2"/>
        <w:spacing w:after="120" w:before="280"/>
      </w:pPr>
      <w:r>
        <w:rPr>
          <w:rFonts w:ascii="Calibri" w:cs="Calibri" w:eastAsia="Calibri" w:hAnsi="Calibri"/>
          <w:b/>
          <w:bCs/>
          <w:color w:val="117A8B"/>
          <w:sz w:val="25"/>
          <w:szCs w:val="25"/>
        </w:rPr>
        <w:t xml:space="preserve">8.9 Tab 8 — Value Case</w:t>
      </w:r>
    </w:p>
    <w:p>
      <w:pPr>
        <w:spacing w:after="120" w:line="276"/>
        <w:jc w:val="left"/>
      </w:pPr>
      <w:r>
        <w:rPr>
          <w:rFonts w:ascii="Calibri" w:cs="Calibri" w:eastAsia="Calibri" w:hAnsi="Calibri"/>
          <w:b w:val="false"/>
          <w:bCs w:val="false"/>
          <w:i w:val="false"/>
          <w:iCs w:val="false"/>
          <w:color w:val="1F2A33"/>
          <w:sz w:val="21"/>
          <w:szCs w:val="21"/>
        </w:rPr>
        <w:t xml:space="preserve">Every product carries a value case reviewed at least every two quarters. Structure defined in Section 18. The tab shows the declared business outcomes, the quantified benefit model with its assumptions stated openly, realized-versus-projected tracking, the cost of ownership, and net value with a confidence rating.</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9. Data Contracts &amp; Consumption Endpoints</w:t>
      </w:r>
    </w:p>
    <w:p>
      <w:pPr>
        <w:spacing w:after="120" w:line="276"/>
        <w:jc w:val="left"/>
      </w:pPr>
      <w:r>
        <w:rPr>
          <w:rFonts w:ascii="Calibri" w:cs="Calibri" w:eastAsia="Calibri" w:hAnsi="Calibri"/>
          <w:b w:val="false"/>
          <w:bCs w:val="false"/>
          <w:i w:val="false"/>
          <w:iCs w:val="false"/>
          <w:color w:val="1F2A33"/>
          <w:sz w:val="21"/>
          <w:szCs w:val="21"/>
        </w:rPr>
        <w:t xml:space="preserve">Five consumption surfaces, generated from one product manifest. Endpoint definitions are renderings — editing them by hand is a build error.</w:t>
      </w:r>
    </w:p>
    <w:p>
      <w:pPr>
        <w:pStyle w:val="Heading2"/>
        <w:spacing w:after="120" w:before="280"/>
      </w:pPr>
      <w:r>
        <w:rPr>
          <w:rFonts w:ascii="Calibri" w:cs="Calibri" w:eastAsia="Calibri" w:hAnsi="Calibri"/>
          <w:b/>
          <w:bCs/>
          <w:color w:val="117A8B"/>
          <w:sz w:val="25"/>
          <w:szCs w:val="25"/>
        </w:rPr>
        <w:t xml:space="preserve">9.1 Surface Matrix</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714"/>
        <w:gridCol w:w="1814"/>
        <w:gridCol w:w="2520"/>
        <w:gridCol w:w="4032"/>
      </w:tblGrid>
      <w:tr>
        <w:trPr>
          <w:tblHeader/>
        </w:trPr>
        <w:tc>
          <w:tcPr>
            <w:tcW w:type="dxa" w:w="17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Surface</w:t>
            </w:r>
          </w:p>
        </w:tc>
        <w:tc>
          <w:tcPr>
            <w:tcW w:type="dxa" w:w="18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Consumer</w:t>
            </w:r>
          </w:p>
        </w:tc>
        <w:tc>
          <w:tcPr>
            <w:tcW w:type="dxa" w:w="252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Auth</w:t>
            </w:r>
          </w:p>
        </w:tc>
        <w:tc>
          <w:tcPr>
            <w:tcW w:type="dxa" w:w="403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Notes</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SQL / semantic view</w:t>
            </w:r>
          </w:p>
        </w:tc>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Analysts, BI tools</w:t>
            </w:r>
          </w:p>
        </w:tc>
        <w:tc>
          <w:tcPr>
            <w:tcW w:type="dxa" w:w="252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Platform RBAC via granted role</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governed view or Snowflake semantic view; never direct base-table grants</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REST API</w:t>
            </w:r>
          </w:p>
        </w:tc>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Applications, integrations</w:t>
            </w:r>
          </w:p>
        </w:tc>
        <w:tc>
          <w:tcPr>
            <w:tcW w:type="dxa" w:w="252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OAuth 2.0 client credentials, scoped to product + purpose</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Cursor-paginated, filterable, JSON; 5xx and rate-limit semantics documented</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MCP endpoint</w:t>
            </w:r>
          </w:p>
        </w:tc>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AI agents, copilots, IDE assistants</w:t>
            </w:r>
          </w:p>
        </w:tc>
        <w:tc>
          <w:tcPr>
            <w:tcW w:type="dxa" w:w="252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OAuth 2.0 with agent identity, entitlement-scoped</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Model Context Protocol server exposing typed tools per product — the primary AI consumption path</w:t>
            </w:r>
          </w:p>
        </w:tc>
      </w:tr>
      <w:tr>
        <w:tc>
          <w:tcPr>
            <w:tcW w:type="dxa" w:w="17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Streaming</w:t>
            </w:r>
          </w:p>
        </w:tc>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Real-time consumers</w:t>
            </w:r>
          </w:p>
        </w:tc>
        <w:tc>
          <w:tcPr>
            <w:tcW w:type="dxa" w:w="252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Kafka SASL/OAuth or platform stream grants</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Only for products declaring real-time or near-real-time cadence</w:t>
            </w:r>
          </w:p>
        </w:tc>
      </w:tr>
      <w:tr>
        <w:tc>
          <w:tcPr>
            <w:tcW w:type="dxa" w:w="17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File / share</w:t>
            </w:r>
          </w:p>
        </w:tc>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Bulk and cross-org consumers</w:t>
            </w:r>
          </w:p>
        </w:tc>
        <w:tc>
          <w:tcPr>
            <w:tcW w:type="dxa" w:w="252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Signed URL or native platform share</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Snowflake secure share, Delta Sharing, or object-store manifest</w:t>
            </w:r>
          </w:p>
        </w:tc>
      </w:tr>
    </w:tbl>
    <w:p>
      <w:pPr>
        <w:pStyle w:val="Heading2"/>
        <w:spacing w:after="120" w:before="280"/>
      </w:pPr>
      <w:r>
        <w:rPr>
          <w:rFonts w:ascii="Calibri" w:cs="Calibri" w:eastAsia="Calibri" w:hAnsi="Calibri"/>
          <w:b/>
          <w:bCs/>
          <w:color w:val="117A8B"/>
          <w:sz w:val="25"/>
          <w:szCs w:val="25"/>
        </w:rPr>
        <w:t xml:space="preserve">9.2 MCP Endpoint Specification</w:t>
      </w:r>
    </w:p>
    <w:p>
      <w:pPr>
        <w:spacing w:after="120" w:line="276"/>
        <w:jc w:val="left"/>
      </w:pPr>
      <w:r>
        <w:rPr>
          <w:rFonts w:ascii="Calibri" w:cs="Calibri" w:eastAsia="Calibri" w:hAnsi="Calibri"/>
          <w:b w:val="false"/>
          <w:bCs w:val="false"/>
          <w:i w:val="false"/>
          <w:iCs w:val="false"/>
          <w:color w:val="1F2A33"/>
          <w:sz w:val="21"/>
          <w:szCs w:val="21"/>
        </w:rPr>
        <w:t xml:space="preserve">The MCP surface is what makes a data product consumable by any compliant agent — internal or third-party — without bespoke integration. Each product publishes a server exposing a small, typed tool set generated from its contract.</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"server": "mcp://marketplace.${TENANT}.internal/dp/DP-TEL-001",</w:t>
            </w:r>
          </w:p>
          <w:p>
            <w:pPr>
              <w:spacing w:after="0" w:line="240"/>
            </w:pPr>
            <w:r>
              <w:rPr>
                <w:rFonts w:ascii="Consolas" w:cs="Consolas" w:eastAsia="Consolas" w:hAnsi="Consolas"/>
                <w:color w:val="16323F"/>
                <w:sz w:val="16"/>
                <w:szCs w:val="16"/>
              </w:rPr>
              <w:t xml:space="preserve">  "product": { "id": "DP-TEL-001", "version": "3.2.0",</w:t>
            </w:r>
          </w:p>
          <w:p>
            <w:pPr>
              <w:spacing w:after="0" w:line="240"/>
            </w:pPr>
            <w:r>
              <w:rPr>
                <w:rFonts w:ascii="Consolas" w:cs="Consolas" w:eastAsia="Consolas" w:hAnsi="Consolas"/>
                <w:color w:val="16323F"/>
                <w:sz w:val="16"/>
                <w:szCs w:val="16"/>
              </w:rPr>
              <w:t xml:space="preserve">               "sensitivity": "confidential", "contains_pii": true },</w:t>
            </w:r>
          </w:p>
          <w:p>
            <w:pPr>
              <w:spacing w:after="0" w:line="240"/>
            </w:pPr>
            <w:r>
              <w:rPr>
                <w:rFonts w:ascii="Consolas" w:cs="Consolas" w:eastAsia="Consolas" w:hAnsi="Consolas"/>
                <w:color w:val="16323F"/>
                <w:sz w:val="16"/>
                <w:szCs w:val="16"/>
              </w:rPr>
              <w:t xml:space="preserve">  "auth": { "type": "oauth2", "flow": "client_credentials",</w:t>
            </w:r>
          </w:p>
          <w:p>
            <w:pPr>
              <w:spacing w:after="0" w:line="240"/>
            </w:pPr>
            <w:r>
              <w:rPr>
                <w:rFonts w:ascii="Consolas" w:cs="Consolas" w:eastAsia="Consolas" w:hAnsi="Consolas"/>
                <w:color w:val="16323F"/>
                <w:sz w:val="16"/>
                <w:szCs w:val="16"/>
              </w:rPr>
              <w:t xml:space="preserve">            "scopes": ["dp:DP-TEL-001:read"], "identity": "agent" },</w:t>
            </w:r>
          </w:p>
          <w:p>
            <w:pPr>
              <w:spacing w:after="0" w:line="240"/>
            </w:pPr>
            <w:r>
              <w:rPr>
                <w:rFonts w:ascii="Consolas" w:cs="Consolas" w:eastAsia="Consolas" w:hAnsi="Consolas"/>
                <w:color w:val="16323F"/>
                <w:sz w:val="16"/>
                <w:szCs w:val="16"/>
              </w:rPr>
              <w:t xml:space="preserve">  "tools": [</w:t>
            </w:r>
          </w:p>
          <w:p>
            <w:pPr>
              <w:spacing w:after="0" w:line="240"/>
            </w:pPr>
            <w:r>
              <w:rPr>
                <w:rFonts w:ascii="Consolas" w:cs="Consolas" w:eastAsia="Consolas" w:hAnsi="Consolas"/>
                <w:color w:val="16323F"/>
                <w:sz w:val="16"/>
                <w:szCs w:val="16"/>
              </w:rPr>
              <w:t xml:space="preserve">    { "name": "query_subscriber_churn",</w:t>
            </w:r>
          </w:p>
          <w:p>
            <w:pPr>
              <w:spacing w:after="0" w:line="240"/>
            </w:pPr>
            <w:r>
              <w:rPr>
                <w:rFonts w:ascii="Consolas" w:cs="Consolas" w:eastAsia="Consolas" w:hAnsi="Consolas"/>
                <w:color w:val="16323F"/>
                <w:sz w:val="16"/>
                <w:szCs w:val="16"/>
              </w:rPr>
              <w:t xml:space="preserve">      "description": "Return churn metrics by segment, region and period.",</w:t>
            </w:r>
          </w:p>
          <w:p>
            <w:pPr>
              <w:spacing w:after="0" w:line="240"/>
            </w:pPr>
            <w:r>
              <w:rPr>
                <w:rFonts w:ascii="Consolas" w:cs="Consolas" w:eastAsia="Consolas" w:hAnsi="Consolas"/>
                <w:color w:val="16323F"/>
                <w:sz w:val="16"/>
                <w:szCs w:val="16"/>
              </w:rPr>
              <w:t xml:space="preserve">      "input_schema": { "period": "string", "segment": "string?",</w:t>
            </w:r>
          </w:p>
          <w:p>
            <w:pPr>
              <w:spacing w:after="0" w:line="240"/>
            </w:pPr>
            <w:r>
              <w:rPr>
                <w:rFonts w:ascii="Consolas" w:cs="Consolas" w:eastAsia="Consolas" w:hAnsi="Consolas"/>
                <w:color w:val="16323F"/>
                <w:sz w:val="16"/>
                <w:szCs w:val="16"/>
              </w:rPr>
              <w:t xml:space="preserve">                        "region": "string?", "grain": "enum[day,week,month]" },</w:t>
            </w:r>
          </w:p>
          <w:p>
            <w:pPr>
              <w:spacing w:after="0" w:line="240"/>
            </w:pPr>
            <w:r>
              <w:rPr>
                <w:rFonts w:ascii="Consolas" w:cs="Consolas" w:eastAsia="Consolas" w:hAnsi="Consolas"/>
                <w:color w:val="16323F"/>
                <w:sz w:val="16"/>
                <w:szCs w:val="16"/>
              </w:rPr>
              <w:t xml:space="preserve">      "returns": "rows + certified KPI definition IDs + freshness_as_of",</w:t>
            </w:r>
          </w:p>
          <w:p>
            <w:pPr>
              <w:spacing w:after="0" w:line="240"/>
            </w:pPr>
            <w:r>
              <w:rPr>
                <w:rFonts w:ascii="Consolas" w:cs="Consolas" w:eastAsia="Consolas" w:hAnsi="Consolas"/>
                <w:color w:val="16323F"/>
                <w:sz w:val="16"/>
                <w:szCs w:val="16"/>
              </w:rPr>
              <w:t xml:space="preserve">      "row_limit": 10000, "cost_class": "small" },</w:t>
            </w:r>
          </w:p>
          <w:p>
            <w:pPr>
              <w:spacing w:after="0" w:line="240"/>
            </w:pPr>
            <w:r>
              <w:rPr>
                <w:rFonts w:ascii="Consolas" w:cs="Consolas" w:eastAsia="Consolas" w:hAnsi="Consolas"/>
                <w:color w:val="16323F"/>
                <w:sz w:val="16"/>
                <w:szCs w:val="16"/>
              </w:rPr>
              <w:t xml:space="preserve">    { "name": "describe_schema",  "description": "Columns, types, classifications." },</w:t>
            </w:r>
          </w:p>
          <w:p>
            <w:pPr>
              <w:spacing w:after="0" w:line="240"/>
            </w:pPr>
            <w:r>
              <w:rPr>
                <w:rFonts w:ascii="Consolas" w:cs="Consolas" w:eastAsia="Consolas" w:hAnsi="Consolas"/>
                <w:color w:val="16323F"/>
                <w:sz w:val="16"/>
                <w:szCs w:val="16"/>
              </w:rPr>
              <w:t xml:space="preserve">    { "name": "get_kpi_definition", "description": "Authoritative definition by KPI ID." },</w:t>
            </w:r>
          </w:p>
          <w:p>
            <w:pPr>
              <w:spacing w:after="0" w:line="240"/>
            </w:pPr>
            <w:r>
              <w:rPr>
                <w:rFonts w:ascii="Consolas" w:cs="Consolas" w:eastAsia="Consolas" w:hAnsi="Consolas"/>
                <w:color w:val="16323F"/>
                <w:sz w:val="16"/>
                <w:szCs w:val="16"/>
              </w:rPr>
              <w:t xml:space="preserve">    { "name": "get_freshness",     "description": "Load state vs contract SLA." },</w:t>
            </w:r>
          </w:p>
          <w:p>
            <w:pPr>
              <w:spacing w:after="0" w:line="240"/>
            </w:pPr>
            <w:r>
              <w:rPr>
                <w:rFonts w:ascii="Consolas" w:cs="Consolas" w:eastAsia="Consolas" w:hAnsi="Consolas"/>
                <w:color w:val="16323F"/>
                <w:sz w:val="16"/>
                <w:szCs w:val="16"/>
              </w:rPr>
              <w:t xml:space="preserve">    { "name": "get_quality",       "description": "Current composite and dimension scores." }</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  "policy": {</w:t>
            </w:r>
          </w:p>
          <w:p>
            <w:pPr>
              <w:spacing w:after="0" w:line="240"/>
            </w:pPr>
            <w:r>
              <w:rPr>
                <w:rFonts w:ascii="Consolas" w:cs="Consolas" w:eastAsia="Consolas" w:hAnsi="Consolas"/>
                <w:color w:val="16323F"/>
                <w:sz w:val="16"/>
                <w:szCs w:val="16"/>
              </w:rPr>
              <w:t xml:space="preserve">    "row_filters_applied": true,</w:t>
            </w:r>
          </w:p>
          <w:p>
            <w:pPr>
              <w:spacing w:after="0" w:line="240"/>
            </w:pPr>
            <w:r>
              <w:rPr>
                <w:rFonts w:ascii="Consolas" w:cs="Consolas" w:eastAsia="Consolas" w:hAnsi="Consolas"/>
                <w:color w:val="16323F"/>
                <w:sz w:val="16"/>
                <w:szCs w:val="16"/>
              </w:rPr>
              <w:t xml:space="preserve">    "column_masking_applied": true,</w:t>
            </w:r>
          </w:p>
          <w:p>
            <w:pPr>
              <w:spacing w:after="0" w:line="240"/>
            </w:pPr>
            <w:r>
              <w:rPr>
                <w:rFonts w:ascii="Consolas" w:cs="Consolas" w:eastAsia="Consolas" w:hAnsi="Consolas"/>
                <w:color w:val="16323F"/>
                <w:sz w:val="16"/>
                <w:szCs w:val="16"/>
              </w:rPr>
              <w:t xml:space="preserve">    "purpose_required": true,</w:t>
            </w:r>
          </w:p>
          <w:p>
            <w:pPr>
              <w:spacing w:after="0" w:line="240"/>
            </w:pPr>
            <w:r>
              <w:rPr>
                <w:rFonts w:ascii="Consolas" w:cs="Consolas" w:eastAsia="Consolas" w:hAnsi="Consolas"/>
                <w:color w:val="16323F"/>
                <w:sz w:val="16"/>
                <w:szCs w:val="16"/>
              </w:rPr>
              <w:t xml:space="preserve">    "max_rows_per_call": 10000,</w:t>
            </w:r>
          </w:p>
          <w:p>
            <w:pPr>
              <w:spacing w:after="0" w:line="240"/>
            </w:pPr>
            <w:r>
              <w:rPr>
                <w:rFonts w:ascii="Consolas" w:cs="Consolas" w:eastAsia="Consolas" w:hAnsi="Consolas"/>
                <w:color w:val="16323F"/>
                <w:sz w:val="16"/>
                <w:szCs w:val="16"/>
              </w:rPr>
              <w:t xml:space="preserve">    "audit": "every call logged with agent_id, user_on_behalf_of, purpose, columns_returned"</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w:t>
            </w:r>
          </w:p>
        </w:tc>
      </w:tr>
    </w:tbl>
    <w:p>
      <w:pPr>
        <w:pStyle w:val="ListParagraph"/>
        <w:numPr>
          <w:ilvl w:val="0"/>
          <w:numId w:val="2"/>
        </w:numPr>
        <w:spacing w:after="70" w:line="268"/>
      </w:pPr>
      <w:r>
        <w:rPr>
          <w:rFonts w:ascii="Calibri" w:cs="Calibri" w:eastAsia="Calibri" w:hAnsi="Calibri"/>
          <w:b/>
          <w:bCs/>
          <w:color w:val="0B2C4D"/>
          <w:sz w:val="21"/>
          <w:szCs w:val="21"/>
        </w:rPr>
        <w:t xml:space="preserve">Policy is enforced server-side, never by the calling agent.</w:t>
      </w:r>
      <w:r>
        <w:rPr>
          <w:rFonts w:ascii="Calibri" w:cs="Calibri" w:eastAsia="Calibri" w:hAnsi="Calibri"/>
          <w:color w:val="1F2A33"/>
          <w:sz w:val="21"/>
          <w:szCs w:val="21"/>
        </w:rPr>
        <w:t xml:space="preserve"> Masking and row filters are applied in the data platform; the MCP server cannot return data the caller’s entitlement does not permit.</w:t>
      </w:r>
    </w:p>
    <w:p>
      <w:pPr>
        <w:pStyle w:val="ListParagraph"/>
        <w:numPr>
          <w:ilvl w:val="0"/>
          <w:numId w:val="2"/>
        </w:numPr>
        <w:spacing w:after="70" w:line="268"/>
      </w:pPr>
      <w:r>
        <w:rPr>
          <w:rFonts w:ascii="Calibri" w:cs="Calibri" w:eastAsia="Calibri" w:hAnsi="Calibri"/>
          <w:b/>
          <w:bCs/>
          <w:color w:val="0B2C4D"/>
          <w:sz w:val="21"/>
          <w:szCs w:val="21"/>
        </w:rPr>
        <w:t xml:space="preserve">Every response carries provenance</w:t>
      </w:r>
      <w:r>
        <w:rPr>
          <w:rFonts w:ascii="Calibri" w:cs="Calibri" w:eastAsia="Calibri" w:hAnsi="Calibri"/>
          <w:color w:val="1F2A33"/>
          <w:sz w:val="21"/>
          <w:szCs w:val="21"/>
        </w:rPr>
        <w:t xml:space="preserve"> — product ID, contract version, freshness timestamp, quality composite, and the certified KPI definition IDs used. This is what allows an agent to cite its sources.</w:t>
      </w:r>
    </w:p>
    <w:p>
      <w:pPr>
        <w:pStyle w:val="ListParagraph"/>
        <w:numPr>
          <w:ilvl w:val="0"/>
          <w:numId w:val="2"/>
        </w:numPr>
        <w:spacing w:after="70" w:line="268"/>
      </w:pPr>
      <w:r>
        <w:rPr>
          <w:rFonts w:ascii="Calibri" w:cs="Calibri" w:eastAsia="Calibri" w:hAnsi="Calibri"/>
          <w:b/>
          <w:bCs/>
          <w:color w:val="0B2C4D"/>
          <w:sz w:val="21"/>
          <w:szCs w:val="21"/>
        </w:rPr>
        <w:t xml:space="preserve">Purpose binding is mandatory</w:t>
      </w:r>
      <w:r>
        <w:rPr>
          <w:rFonts w:ascii="Calibri" w:cs="Calibri" w:eastAsia="Calibri" w:hAnsi="Calibri"/>
          <w:color w:val="1F2A33"/>
          <w:sz w:val="21"/>
          <w:szCs w:val="21"/>
        </w:rPr>
        <w:t xml:space="preserve"> for Confidential and Restricted products: the calling agent must pass the purpose recorded at grant time, and it is logged with the call.</w:t>
      </w:r>
    </w:p>
    <w:p>
      <w:pPr>
        <w:pStyle w:val="ListParagraph"/>
        <w:numPr>
          <w:ilvl w:val="0"/>
          <w:numId w:val="2"/>
        </w:numPr>
        <w:spacing w:after="70" w:line="268"/>
      </w:pPr>
      <w:r>
        <w:rPr>
          <w:rFonts w:ascii="Calibri" w:cs="Calibri" w:eastAsia="Calibri" w:hAnsi="Calibri"/>
          <w:b/>
          <w:bCs/>
          <w:color w:val="0B2C4D"/>
          <w:sz w:val="21"/>
          <w:szCs w:val="21"/>
        </w:rPr>
        <w:t xml:space="preserve">Delegated identity is preserved.</w:t>
      </w:r>
      <w:r>
        <w:rPr>
          <w:rFonts w:ascii="Calibri" w:cs="Calibri" w:eastAsia="Calibri" w:hAnsi="Calibri"/>
          <w:color w:val="1F2A33"/>
          <w:sz w:val="21"/>
          <w:szCs w:val="21"/>
        </w:rPr>
        <w:t xml:space="preserve"> When an agent acts for a user, both identities are carried and logged; the effective entitlement is the intersection of the two.</w:t>
      </w:r>
    </w:p>
    <w:p>
      <w:pPr>
        <w:pStyle w:val="Heading2"/>
        <w:spacing w:after="120" w:before="280"/>
      </w:pPr>
      <w:r>
        <w:rPr>
          <w:rFonts w:ascii="Calibri" w:cs="Calibri" w:eastAsia="Calibri" w:hAnsi="Calibri"/>
          <w:b/>
          <w:bCs/>
          <w:color w:val="117A8B"/>
          <w:sz w:val="25"/>
          <w:szCs w:val="25"/>
        </w:rPr>
        <w:t xml:space="preserve">9.3 REST Contract Conventions</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GET /api/v1/products/DP-TEL-001/data?period=2026-Q2&amp;segment=postpaid&amp;limit=1000</w:t>
            </w:r>
          </w:p>
          <w:p>
            <w:pPr>
              <w:spacing w:after="0" w:line="240"/>
            </w:pPr>
            <w:r>
              <w:rPr>
                <w:rFonts w:ascii="Consolas" w:cs="Consolas" w:eastAsia="Consolas" w:hAnsi="Consolas"/>
                <w:color w:val="16323F"/>
                <w:sz w:val="16"/>
                <w:szCs w:val="16"/>
              </w:rPr>
              <w:t xml:space="preserve">Authorization: Bearer &lt;token&gt;   X-Purpose: churn-analysis-emea   X-Request-Id: &lt;uuid&gt;</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200 OK</w:t>
            </w:r>
          </w:p>
          <w:p>
            <w:pPr>
              <w:spacing w:after="0" w:line="240"/>
            </w:pPr>
            <w:r>
              <w:rPr>
                <w:rFonts w:ascii="Consolas" w:cs="Consolas" w:eastAsia="Consolas" w:hAnsi="Consolas"/>
                <w:color w:val="16323F"/>
                <w:sz w:val="16"/>
                <w:szCs w:val="16"/>
              </w:rPr>
              <w:t xml:space="preserve">{ "product": "DP-TEL-001", "contract_version": "3.2.0",</w:t>
            </w:r>
          </w:p>
          <w:p>
            <w:pPr>
              <w:spacing w:after="0" w:line="240"/>
            </w:pPr>
            <w:r>
              <w:rPr>
                <w:rFonts w:ascii="Consolas" w:cs="Consolas" w:eastAsia="Consolas" w:hAnsi="Consolas"/>
                <w:color w:val="16323F"/>
                <w:sz w:val="16"/>
                <w:szCs w:val="16"/>
              </w:rPr>
              <w:t xml:space="preserve">  "freshness_as_of": "2026-09-03T06:12:04Z", "quality_composite": 94,</w:t>
            </w:r>
          </w:p>
          <w:p>
            <w:pPr>
              <w:spacing w:after="0" w:line="240"/>
            </w:pPr>
            <w:r>
              <w:rPr>
                <w:rFonts w:ascii="Consolas" w:cs="Consolas" w:eastAsia="Consolas" w:hAnsi="Consolas"/>
                <w:color w:val="16323F"/>
                <w:sz w:val="16"/>
                <w:szCs w:val="16"/>
              </w:rPr>
              <w:t xml:space="preserve">  "kpi_definitions": ["KPI-CHURN-001","KPI-ARPU-004"],</w:t>
            </w:r>
          </w:p>
          <w:p>
            <w:pPr>
              <w:spacing w:after="0" w:line="240"/>
            </w:pPr>
            <w:r>
              <w:rPr>
                <w:rFonts w:ascii="Consolas" w:cs="Consolas" w:eastAsia="Consolas" w:hAnsi="Consolas"/>
                <w:color w:val="16323F"/>
                <w:sz w:val="16"/>
                <w:szCs w:val="16"/>
              </w:rPr>
              <w:t xml:space="preserve">  "rows": [ ... ], "next_cursor": "eyJvZmZzZXQiOjEwMDB9" }</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403  { "error": "entitlement_missing", "required_scope": "dp:DP-TEL-001:read",</w:t>
            </w:r>
          </w:p>
          <w:p>
            <w:pPr>
              <w:spacing w:after="0" w:line="240"/>
            </w:pPr>
            <w:r>
              <w:rPr>
                <w:rFonts w:ascii="Consolas" w:cs="Consolas" w:eastAsia="Consolas" w:hAnsi="Consolas"/>
                <w:color w:val="16323F"/>
                <w:sz w:val="16"/>
                <w:szCs w:val="16"/>
              </w:rPr>
              <w:t xml:space="preserve">       "request_access_url": "https://marketplace/.../requests/new/access?asset=DP-TEL-001" }</w:t>
            </w:r>
          </w:p>
        </w:tc>
      </w:tr>
    </w:tbl>
    <w:p>
      <w:pPr>
        <w:spacing w:after="120" w:line="276"/>
        <w:jc w:val="left"/>
      </w:pPr>
      <w:r>
        <w:rPr>
          <w:rFonts w:ascii="Calibri" w:cs="Calibri" w:eastAsia="Calibri" w:hAnsi="Calibri"/>
          <w:b w:val="false"/>
          <w:bCs w:val="false"/>
          <w:i w:val="false"/>
          <w:iCs w:val="false"/>
          <w:color w:val="1F2A33"/>
          <w:sz w:val="21"/>
          <w:szCs w:val="21"/>
        </w:rPr>
        <w:t xml:space="preserve">A 403 always returns the exact missing scope and a deep link to the pre-filled access request. Dead ends are a design defect.</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10. AI Agent Catalog — Browse &amp; Discovery</w:t>
      </w:r>
    </w:p>
    <w:p>
      <w:pPr>
        <w:spacing w:after="120" w:line="276"/>
        <w:jc w:val="left"/>
      </w:pPr>
      <w:r>
        <w:rPr>
          <w:rFonts w:ascii="Calibri" w:cs="Calibri" w:eastAsia="Calibri" w:hAnsi="Calibri"/>
          <w:b w:val="false"/>
          <w:bCs w:val="false"/>
          <w:i w:val="false"/>
          <w:iCs w:val="false"/>
          <w:color w:val="1F2A33"/>
          <w:sz w:val="21"/>
          <w:szCs w:val="21"/>
        </w:rPr>
        <w:t xml:space="preserve">The agent catalog is organized around the question the consumer wants answered, not around the technology the agent is built on. The dominant browse axis is therefore KPI coverage.</w:t>
      </w:r>
    </w:p>
    <w:p>
      <w:pPr>
        <w:pStyle w:val="Heading2"/>
        <w:spacing w:after="120" w:before="280"/>
      </w:pPr>
      <w:r>
        <w:rPr>
          <w:rFonts w:ascii="Calibri" w:cs="Calibri" w:eastAsia="Calibri" w:hAnsi="Calibri"/>
          <w:b/>
          <w:bCs/>
          <w:color w:val="117A8B"/>
          <w:sz w:val="25"/>
          <w:szCs w:val="25"/>
        </w:rPr>
        <w:t xml:space="preserve">10.1 Facets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Facet</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Values / behaviour</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Industry / domain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Same taxonomies as data products</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KPI answered</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Type-ahead over the certified KPI register — "show me every agent that can answer churn rate"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product consumed</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Filter agents by the products they run on; reachable directly from any product page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archetype</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Analytical Q&amp;A · Diagnostic / root-cause · Monitoring &amp; alerting · Forecasting · Document / RAG · Workflow-actioning</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Autonomy level</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L0 read-only answers · L1 answers with recommendations · L2 drafts actions for approval · L3 executes scoped actions with audit</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Answer confidence</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Rolling 30-day answer-acceptance rate band</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Access status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Available to me · Request required · Demo only</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Certification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 Published · Beta · Deprecated</w:t>
            </w:r>
          </w:p>
        </w:tc>
      </w:tr>
    </w:tbl>
    <w:p>
      <w:pPr>
        <w:pStyle w:val="Heading2"/>
        <w:spacing w:after="120" w:before="280"/>
      </w:pPr>
      <w:r>
        <w:rPr>
          <w:rFonts w:ascii="Calibri" w:cs="Calibri" w:eastAsia="Calibri" w:hAnsi="Calibri"/>
          <w:b/>
          <w:bCs/>
          <w:color w:val="117A8B"/>
          <w:sz w:val="25"/>
          <w:szCs w:val="25"/>
        </w:rPr>
        <w:t xml:space="preserve">10.2 Agent Card Anatomy</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915"/>
        <w:gridCol w:w="8165"/>
      </w:tblGrid>
      <w:tr>
        <w:trPr>
          <w:tblHeader/>
        </w:trPr>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Zone</w:t>
            </w:r>
          </w:p>
        </w:tc>
        <w:tc>
          <w:tcPr>
            <w:tcW w:type="dxa" w:w="816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Elements</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Header</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 name · glyph avatar · certification mark · autonomy level badge (L0–L3)</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Capability statement</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One sentence beginning "Answers questions about…" — a required, owner-authored field of 90–140 characters</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KPI chips</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Up to four certified KPIs the agent can answer, with an overflow counter</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product strip</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Icons and names of the products it consumes, each linking to that product</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Metric row</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Questions answered (30d) · answer acceptance rate · median latency · analyst hours deflected (30d)</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Footer</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Owner and team · "Try 5 questions" primary CTA · Request access secondary</w:t>
            </w:r>
          </w:p>
        </w:tc>
      </w:tr>
    </w:tbl>
    <w:p>
      <w:pPr>
        <w:spacing w:after="120" w:line="276"/>
        <w:jc w:val="left"/>
      </w:pPr>
      <w:r>
        <w:rPr>
          <w:rFonts w:ascii="Calibri" w:cs="Calibri" w:eastAsia="Calibri" w:hAnsi="Calibri"/>
          <w:b w:val="false"/>
          <w:bCs w:val="false"/>
          <w:i w:val="false"/>
          <w:iCs w:val="false"/>
          <w:color w:val="1F2A33"/>
          <w:sz w:val="21"/>
          <w:szCs w:val="21"/>
        </w:rPr>
        <w:t xml:space="preserve">The "Try 5 questions" CTA is the single most important control in the catalog. It opens the demo console pre-loaded with the agent’s curated question set and requires no access grant.</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11. Agent Detail Specification &amp; KPI Coverage Map</w:t>
      </w:r>
    </w:p>
    <w:p>
      <w:pPr>
        <w:pStyle w:val="Heading2"/>
        <w:spacing w:after="120" w:before="280"/>
      </w:pPr>
      <w:r>
        <w:rPr>
          <w:rFonts w:ascii="Calibri" w:cs="Calibri" w:eastAsia="Calibri" w:hAnsi="Calibri"/>
          <w:b/>
          <w:bCs/>
          <w:color w:val="117A8B"/>
          <w:sz w:val="25"/>
          <w:szCs w:val="25"/>
        </w:rPr>
        <w:t xml:space="preserve">11.1 Tab 1 — Overview</w:t>
      </w:r>
    </w:p>
    <w:p>
      <w:pPr>
        <w:pStyle w:val="ListParagraph"/>
        <w:numPr>
          <w:ilvl w:val="0"/>
          <w:numId w:val="2"/>
        </w:numPr>
        <w:spacing w:after="70" w:line="268"/>
      </w:pPr>
      <w:r>
        <w:rPr>
          <w:rFonts w:ascii="Calibri" w:cs="Calibri" w:eastAsia="Calibri" w:hAnsi="Calibri"/>
          <w:b/>
          <w:bCs/>
          <w:color w:val="0B2C4D"/>
          <w:sz w:val="21"/>
          <w:szCs w:val="21"/>
        </w:rPr>
        <w:t xml:space="preserve">What it does</w:t>
      </w:r>
      <w:r>
        <w:rPr>
          <w:rFonts w:ascii="Calibri" w:cs="Calibri" w:eastAsia="Calibri" w:hAnsi="Calibri"/>
          <w:color w:val="1F2A33"/>
          <w:sz w:val="21"/>
          <w:szCs w:val="21"/>
        </w:rPr>
        <w:t xml:space="preserve"> — the capability statement expanded into three to five sentences of business-facing description: which decisions it supports, for which roles, at which cadence.</w:t>
      </w:r>
    </w:p>
    <w:p>
      <w:pPr>
        <w:pStyle w:val="ListParagraph"/>
        <w:numPr>
          <w:ilvl w:val="0"/>
          <w:numId w:val="2"/>
        </w:numPr>
        <w:spacing w:after="70" w:line="268"/>
      </w:pPr>
      <w:r>
        <w:rPr>
          <w:rFonts w:ascii="Calibri" w:cs="Calibri" w:eastAsia="Calibri" w:hAnsi="Calibri"/>
          <w:b/>
          <w:bCs/>
          <w:color w:val="0B2C4D"/>
          <w:sz w:val="21"/>
          <w:szCs w:val="21"/>
        </w:rPr>
        <w:t xml:space="preserve">How it helps</w:t>
      </w:r>
      <w:r>
        <w:rPr>
          <w:rFonts w:ascii="Calibri" w:cs="Calibri" w:eastAsia="Calibri" w:hAnsi="Calibri"/>
          <w:color w:val="1F2A33"/>
          <w:sz w:val="21"/>
          <w:szCs w:val="21"/>
        </w:rPr>
        <w:t xml:space="preserve"> — a required "business analysis value" block naming the analyses it performs (trend explanation, variance decomposition, cohort comparison, driver ranking, anomaly triage, scenario framing) and the manual work each replaces.</w:t>
      </w:r>
    </w:p>
    <w:p>
      <w:pPr>
        <w:pStyle w:val="ListParagraph"/>
        <w:numPr>
          <w:ilvl w:val="0"/>
          <w:numId w:val="2"/>
        </w:numPr>
        <w:spacing w:after="70" w:line="268"/>
      </w:pPr>
      <w:r>
        <w:rPr>
          <w:rFonts w:ascii="Calibri" w:cs="Calibri" w:eastAsia="Calibri" w:hAnsi="Calibri"/>
          <w:b/>
          <w:bCs/>
          <w:color w:val="0B2C4D"/>
          <w:sz w:val="21"/>
          <w:szCs w:val="21"/>
        </w:rPr>
        <w:t xml:space="preserve">What it cannot do</w:t>
      </w:r>
      <w:r>
        <w:rPr>
          <w:rFonts w:ascii="Calibri" w:cs="Calibri" w:eastAsia="Calibri" w:hAnsi="Calibri"/>
          <w:color w:val="1F2A33"/>
          <w:sz w:val="21"/>
          <w:szCs w:val="21"/>
        </w:rPr>
        <w:t xml:space="preserve"> — an explicit out-of-scope list. Stating the boundary is a trust feature, not a disclaimer; publishing is blocked while this field is empty.</w:t>
      </w:r>
    </w:p>
    <w:p>
      <w:pPr>
        <w:pStyle w:val="ListParagraph"/>
        <w:numPr>
          <w:ilvl w:val="0"/>
          <w:numId w:val="2"/>
        </w:numPr>
        <w:spacing w:after="70" w:line="268"/>
      </w:pPr>
      <w:r>
        <w:rPr>
          <w:rFonts w:ascii="Calibri" w:cs="Calibri" w:eastAsia="Calibri" w:hAnsi="Calibri"/>
          <w:b/>
          <w:bCs/>
          <w:color w:val="0B2C4D"/>
          <w:sz w:val="21"/>
          <w:szCs w:val="21"/>
        </w:rPr>
        <w:t xml:space="preserve">Who it is for</w:t>
      </w:r>
      <w:r>
        <w:rPr>
          <w:rFonts w:ascii="Calibri" w:cs="Calibri" w:eastAsia="Calibri" w:hAnsi="Calibri"/>
          <w:color w:val="1F2A33"/>
          <w:sz w:val="21"/>
          <w:szCs w:val="21"/>
        </w:rPr>
        <w:t xml:space="preserve"> — target personas and the seniority of the decisions it supports.</w:t>
      </w:r>
    </w:p>
    <w:p>
      <w:pPr>
        <w:pStyle w:val="ListParagraph"/>
        <w:numPr>
          <w:ilvl w:val="0"/>
          <w:numId w:val="2"/>
        </w:numPr>
        <w:spacing w:after="70" w:line="268"/>
      </w:pPr>
      <w:r>
        <w:rPr>
          <w:rFonts w:ascii="Calibri" w:cs="Calibri" w:eastAsia="Calibri" w:hAnsi="Calibri"/>
          <w:b/>
          <w:bCs/>
          <w:color w:val="0B2C4D"/>
          <w:sz w:val="21"/>
          <w:szCs w:val="21"/>
        </w:rPr>
        <w:t xml:space="preserve">Owner block</w:t>
      </w:r>
      <w:r>
        <w:rPr>
          <w:rFonts w:ascii="Calibri" w:cs="Calibri" w:eastAsia="Calibri" w:hAnsi="Calibri"/>
          <w:color w:val="1F2A33"/>
          <w:sz w:val="21"/>
          <w:szCs w:val="21"/>
        </w:rPr>
        <w:t xml:space="preserve"> — owner, team, on-call, model and version, last evaluation date.</w:t>
      </w:r>
    </w:p>
    <w:p>
      <w:pPr>
        <w:pStyle w:val="Heading2"/>
        <w:spacing w:after="120" w:before="280"/>
      </w:pPr>
      <w:r>
        <w:rPr>
          <w:rFonts w:ascii="Calibri" w:cs="Calibri" w:eastAsia="Calibri" w:hAnsi="Calibri"/>
          <w:b/>
          <w:bCs/>
          <w:color w:val="117A8B"/>
          <w:sz w:val="25"/>
          <w:szCs w:val="25"/>
        </w:rPr>
        <w:t xml:space="preserve">11.2 Tab 2 — Capabilities &amp; KPI Coverage Map</w:t>
      </w:r>
    </w:p>
    <w:p>
      <w:pPr>
        <w:spacing w:after="120" w:line="276"/>
        <w:jc w:val="left"/>
      </w:pPr>
      <w:r>
        <w:rPr>
          <w:rFonts w:ascii="Calibri" w:cs="Calibri" w:eastAsia="Calibri" w:hAnsi="Calibri"/>
          <w:b w:val="false"/>
          <w:bCs w:val="false"/>
          <w:i w:val="false"/>
          <w:iCs w:val="false"/>
          <w:color w:val="1F2A33"/>
          <w:sz w:val="21"/>
          <w:szCs w:val="21"/>
        </w:rPr>
        <w:t xml:space="preserve">The coverage map is the agent’s functional contract. It is a matrix, not prose, and it is generated from the agent manifest so it cannot drift from what the agent actually exposes.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218"/>
        <w:gridCol w:w="7862"/>
      </w:tblGrid>
      <w:tr>
        <w:trPr>
          <w:tblHeader/>
        </w:trPr>
        <w:tc>
          <w:tcPr>
            <w:tcW w:type="dxa" w:w="221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Column</w:t>
            </w:r>
          </w:p>
        </w:tc>
        <w:tc>
          <w:tcPr>
            <w:tcW w:type="dxa" w:w="786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Meaning</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KPI / question class</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certified KPI or analytical question type the agent covers</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Definition ID</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Link to the single authoritative definition used — the agent may not compute a KPI it does not cite</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Source data product</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Which product supplies the measure, with the column set used</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Supported grain</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Time grains and dimensional grains available for that KPI</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Supported slices</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Dimensions the agent can break the KPI down by</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Analysis depth</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Reports value · compares periods · explains variance · ranks drivers · forecasts</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Confidence</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Rolling accuracy for this KPI class from the evaluation suite, with sample size</w:t>
            </w:r>
          </w:p>
        </w:tc>
      </w:tr>
    </w:tbl>
    <w:p>
      <w:pPr>
        <w:spacing w:after="120" w:line="276"/>
        <w:jc w:val="left"/>
      </w:pPr>
      <w:r>
        <w:rPr>
          <w:rFonts w:ascii="Calibri" w:cs="Calibri" w:eastAsia="Calibri" w:hAnsi="Calibri"/>
          <w:b w:val="false"/>
          <w:bCs w:val="false"/>
          <w:i w:val="false"/>
          <w:iCs w:val="false"/>
          <w:color w:val="1F2A33"/>
          <w:sz w:val="21"/>
          <w:szCs w:val="21"/>
        </w:rPr>
        <w:t xml:space="preserve">Below the matrix: the example question bank grouped by KPI, the natural-language synonyms the agent recognizes, and a coverage-gap panel naming questions consumers have asked that the agent could not answer — which feeds directly into the enhancement backlog.</w:t>
      </w:r>
    </w:p>
    <w:p>
      <w:pPr>
        <w:pStyle w:val="Heading2"/>
        <w:spacing w:after="120" w:before="280"/>
      </w:pPr>
      <w:r>
        <w:rPr>
          <w:rFonts w:ascii="Calibri" w:cs="Calibri" w:eastAsia="Calibri" w:hAnsi="Calibri"/>
          <w:b/>
          <w:bCs/>
          <w:color w:val="117A8B"/>
          <w:sz w:val="25"/>
          <w:szCs w:val="25"/>
        </w:rPr>
        <w:t xml:space="preserve">11.3 Tab 3 — Live Demo</w:t>
      </w:r>
    </w:p>
    <w:p>
      <w:pPr>
        <w:spacing w:after="120" w:line="276"/>
        <w:jc w:val="left"/>
      </w:pPr>
      <w:r>
        <w:rPr>
          <w:rFonts w:ascii="Calibri" w:cs="Calibri" w:eastAsia="Calibri" w:hAnsi="Calibri"/>
          <w:b w:val="false"/>
          <w:bCs w:val="false"/>
          <w:i w:val="false"/>
          <w:iCs w:val="false"/>
          <w:color w:val="1F2A33"/>
          <w:sz w:val="21"/>
          <w:szCs w:val="21"/>
        </w:rPr>
        <w:t xml:space="preserve">Specified in Section 12.</w:t>
      </w:r>
    </w:p>
    <w:p>
      <w:pPr>
        <w:pStyle w:val="Heading2"/>
        <w:spacing w:after="120" w:before="280"/>
      </w:pPr>
      <w:r>
        <w:rPr>
          <w:rFonts w:ascii="Calibri" w:cs="Calibri" w:eastAsia="Calibri" w:hAnsi="Calibri"/>
          <w:b/>
          <w:bCs/>
          <w:color w:val="117A8B"/>
          <w:sz w:val="25"/>
          <w:szCs w:val="25"/>
        </w:rPr>
        <w:t xml:space="preserve">11.4 Tab 4 — Data Products</w:t>
      </w:r>
    </w:p>
    <w:p>
      <w:pPr>
        <w:pStyle w:val="ListParagraph"/>
        <w:numPr>
          <w:ilvl w:val="0"/>
          <w:numId w:val="2"/>
        </w:numPr>
        <w:spacing w:after="70" w:line="268"/>
      </w:pPr>
      <w:r>
        <w:rPr>
          <w:rFonts w:ascii="Calibri" w:cs="Calibri" w:eastAsia="Calibri" w:hAnsi="Calibri"/>
          <w:color w:val="1F2A33"/>
          <w:sz w:val="21"/>
          <w:szCs w:val="21"/>
        </w:rPr>
        <w:t xml:space="preserve">Every product consumed, with the specific columns and tools accessed, and whether access is read-only.</w:t>
      </w:r>
    </w:p>
    <w:p>
      <w:pPr>
        <w:pStyle w:val="ListParagraph"/>
        <w:numPr>
          <w:ilvl w:val="0"/>
          <w:numId w:val="2"/>
        </w:numPr>
        <w:spacing w:after="70" w:line="268"/>
      </w:pPr>
      <w:r>
        <w:rPr>
          <w:rFonts w:ascii="Calibri" w:cs="Calibri" w:eastAsia="Calibri" w:hAnsi="Calibri"/>
          <w:color w:val="1F2A33"/>
          <w:sz w:val="21"/>
          <w:szCs w:val="21"/>
        </w:rPr>
        <w:t xml:space="preserve">Each product’s current quality score and freshness, so a consumer can see that an agent is only as trustworthy as its inputs. If any upstream product falls below the Watch band, a banner appears on the agent detail page and on its catalog card.</w:t>
      </w:r>
    </w:p>
    <w:p>
      <w:pPr>
        <w:pStyle w:val="ListParagraph"/>
        <w:numPr>
          <w:ilvl w:val="0"/>
          <w:numId w:val="2"/>
        </w:numPr>
        <w:spacing w:after="70" w:line="268"/>
      </w:pPr>
      <w:r>
        <w:rPr>
          <w:rFonts w:ascii="Calibri" w:cs="Calibri" w:eastAsia="Calibri" w:hAnsi="Calibri"/>
          <w:color w:val="1F2A33"/>
          <w:sz w:val="21"/>
          <w:szCs w:val="21"/>
        </w:rPr>
        <w:t xml:space="preserve">The MCP tool bindings actually granted to this agent, with the scope string for each.</w:t>
      </w:r>
    </w:p>
    <w:p>
      <w:pPr>
        <w:pStyle w:val="ListParagraph"/>
        <w:numPr>
          <w:ilvl w:val="0"/>
          <w:numId w:val="2"/>
        </w:numPr>
        <w:spacing w:after="70" w:line="268"/>
      </w:pPr>
      <w:r>
        <w:rPr>
          <w:rFonts w:ascii="Calibri" w:cs="Calibri" w:eastAsia="Calibri" w:hAnsi="Calibri"/>
          <w:color w:val="1F2A33"/>
          <w:sz w:val="21"/>
          <w:szCs w:val="21"/>
        </w:rPr>
        <w:t xml:space="preserve">Refresh dependency: how recent the agent’s answers can be, derived from the slowest upstream contract.</w:t>
      </w:r>
    </w:p>
    <w:p>
      <w:pPr>
        <w:pStyle w:val="Heading2"/>
        <w:spacing w:after="120" w:before="280"/>
      </w:pPr>
      <w:r>
        <w:rPr>
          <w:rFonts w:ascii="Calibri" w:cs="Calibri" w:eastAsia="Calibri" w:hAnsi="Calibri"/>
          <w:b/>
          <w:bCs/>
          <w:color w:val="117A8B"/>
          <w:sz w:val="25"/>
          <w:szCs w:val="25"/>
        </w:rPr>
        <w:t xml:space="preserve">11.5 Tab 5 — Safety, Scope &amp; Governance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Control</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Specification</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Identity</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agent holds a distinct machine identity, never a shared or human credential. All access is attributable to that identity plus the delegated user.</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Entitlement scope</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Explicit list of granted scopes. Effective access is the intersection of the agent scope and the invoking user’s entitlements — an agent can never widen a user’s access.</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boundaries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Named products and columns the agent may reach; classified columns require an explicit exception with privacy approval recorded.</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Compositional check</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Where an agent composes multiple tools, the reconciliation check evaluates whether the composed result discloses more than any single tool permits; flagged combinations require review before publish.</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Guardrails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Prompt-injection defences, output filters for sensitive patterns, refusal policy, and the escalation path when a question falls outside scope.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Grounding policy</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numeric answer must cite the data product, KPI definition ID and as-of timestamp. Uncited numeric output is a blocking evaluation failure.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Human-in-the-loop</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For L2 and L3 agents, which actions require approval, who approves, and where the approval is recorded.</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Audit</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question, retrieved context, tool call, returned column set, answer and user feedback is logged and replayable for the retention period.</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Evaluation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Golden question set with expected answers, run on every model or prompt change; results published to this tab with pass rate and regression history.</w:t>
            </w:r>
          </w:p>
        </w:tc>
      </w:tr>
    </w:tbl>
    <w:p>
      <w:pPr>
        <w:pStyle w:val="Heading2"/>
        <w:spacing w:after="120" w:before="280"/>
      </w:pPr>
      <w:r>
        <w:rPr>
          <w:rFonts w:ascii="Calibri" w:cs="Calibri" w:eastAsia="Calibri" w:hAnsi="Calibri"/>
          <w:b/>
          <w:bCs/>
          <w:color w:val="117A8B"/>
          <w:sz w:val="25"/>
          <w:szCs w:val="25"/>
        </w:rPr>
        <w:t xml:space="preserve">11.6 Tab 6 — Observability</w:t>
      </w:r>
    </w:p>
    <w:p>
      <w:pPr>
        <w:spacing w:after="120" w:line="276"/>
        <w:jc w:val="left"/>
      </w:pPr>
      <w:r>
        <w:rPr>
          <w:rFonts w:ascii="Calibri" w:cs="Calibri" w:eastAsia="Calibri" w:hAnsi="Calibri"/>
          <w:b w:val="false"/>
          <w:bCs w:val="false"/>
          <w:i w:val="false"/>
          <w:iCs w:val="false"/>
          <w:color w:val="1F2A33"/>
          <w:sz w:val="21"/>
          <w:szCs w:val="21"/>
        </w:rPr>
        <w:t xml:space="preserve">Agent-specific health: question volume and trend, answer acceptance and thumbs-down rate, groundedness (share of numeric claims with valid citations), refusal and fallback rates, p50/p95 latency, cost per answer, token consumption, upstream product health, and evaluation-suite drift. Detail in Section 19.</w:t>
      </w:r>
    </w:p>
    <w:p>
      <w:pPr>
        <w:pStyle w:val="Heading2"/>
        <w:spacing w:after="120" w:before="280"/>
      </w:pPr>
      <w:r>
        <w:rPr>
          <w:rFonts w:ascii="Calibri" w:cs="Calibri" w:eastAsia="Calibri" w:hAnsi="Calibri"/>
          <w:b/>
          <w:bCs/>
          <w:color w:val="117A8B"/>
          <w:sz w:val="25"/>
          <w:szCs w:val="25"/>
        </w:rPr>
        <w:t xml:space="preserve">11.7 Tab 7 — Value &amp; Adoption</w:t>
      </w:r>
    </w:p>
    <w:p>
      <w:pPr>
        <w:spacing w:after="120" w:line="276"/>
        <w:jc w:val="left"/>
      </w:pPr>
      <w:r>
        <w:rPr>
          <w:rFonts w:ascii="Calibri" w:cs="Calibri" w:eastAsia="Calibri" w:hAnsi="Calibri"/>
          <w:b w:val="false"/>
          <w:bCs w:val="false"/>
          <w:i w:val="false"/>
          <w:iCs w:val="false"/>
          <w:color w:val="1F2A33"/>
          <w:sz w:val="21"/>
          <w:szCs w:val="21"/>
        </w:rPr>
        <w:t xml:space="preserve">Distinct users and repeat-use rate, questions answered, estimated analyst hours deflected with the derivation shown, decisions influenced where captured, cost per answer versus the analyst-hour baseline, and the adoption curve with annotations for capability releases. Method in Section 18.</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12. Live Demo Console — Guided Question &amp; Answer</w:t>
      </w:r>
    </w:p>
    <w:p>
      <w:pPr>
        <w:spacing w:after="120" w:line="276"/>
        <w:jc w:val="left"/>
      </w:pPr>
      <w:r>
        <w:rPr>
          <w:rFonts w:ascii="Calibri" w:cs="Calibri" w:eastAsia="Calibri" w:hAnsi="Calibri"/>
          <w:b w:val="false"/>
          <w:bCs w:val="false"/>
          <w:i w:val="false"/>
          <w:iCs w:val="false"/>
          <w:color w:val="1F2A33"/>
          <w:sz w:val="21"/>
          <w:szCs w:val="21"/>
        </w:rPr>
        <w:t xml:space="preserve">The demo console is the conversion surface of the entire product. Every agent must ship with at least five curated exchanges before it can be published; the publish gate checks the count and rejects below five.</w:t>
      </w:r>
    </w:p>
    <w:p>
      <w:pPr>
        <w:pStyle w:val="Heading2"/>
        <w:spacing w:after="120" w:before="280"/>
      </w:pPr>
      <w:r>
        <w:rPr>
          <w:rFonts w:ascii="Calibri" w:cs="Calibri" w:eastAsia="Calibri" w:hAnsi="Calibri"/>
          <w:b/>
          <w:bCs/>
          <w:color w:val="117A8B"/>
          <w:sz w:val="25"/>
          <w:szCs w:val="25"/>
        </w:rPr>
        <w:t xml:space="preserve">12.1 Layout</w:t>
      </w:r>
    </w:p>
    <w:p>
      <w:pPr>
        <w:pStyle w:val="ListParagraph"/>
        <w:numPr>
          <w:ilvl w:val="0"/>
          <w:numId w:val="2"/>
        </w:numPr>
        <w:spacing w:after="70" w:line="268"/>
      </w:pPr>
      <w:r>
        <w:rPr>
          <w:rFonts w:ascii="Calibri" w:cs="Calibri" w:eastAsia="Calibri" w:hAnsi="Calibri"/>
          <w:b/>
          <w:bCs/>
          <w:color w:val="0B2C4D"/>
          <w:sz w:val="21"/>
          <w:szCs w:val="21"/>
        </w:rPr>
        <w:t xml:space="preserve">Left panel (320px):</w:t>
      </w:r>
      <w:r>
        <w:rPr>
          <w:rFonts w:ascii="Calibri" w:cs="Calibri" w:eastAsia="Calibri" w:hAnsi="Calibri"/>
          <w:color w:val="1F2A33"/>
          <w:sz w:val="21"/>
          <w:szCs w:val="21"/>
        </w:rPr>
        <w:t xml:space="preserve"> the curated question list. Each entry shows the question, the KPI class it exercises, and the analysis type. Clicking runs it.</w:t>
      </w:r>
    </w:p>
    <w:p>
      <w:pPr>
        <w:pStyle w:val="ListParagraph"/>
        <w:numPr>
          <w:ilvl w:val="0"/>
          <w:numId w:val="2"/>
        </w:numPr>
        <w:spacing w:after="70" w:line="268"/>
      </w:pPr>
      <w:r>
        <w:rPr>
          <w:rFonts w:ascii="Calibri" w:cs="Calibri" w:eastAsia="Calibri" w:hAnsi="Calibri"/>
          <w:b/>
          <w:bCs/>
          <w:color w:val="0B2C4D"/>
          <w:sz w:val="21"/>
          <w:szCs w:val="21"/>
        </w:rPr>
        <w:t xml:space="preserve">Centre stage:</w:t>
      </w:r>
      <w:r>
        <w:rPr>
          <w:rFonts w:ascii="Calibri" w:cs="Calibri" w:eastAsia="Calibri" w:hAnsi="Calibri"/>
          <w:color w:val="1F2A33"/>
          <w:sz w:val="21"/>
          <w:szCs w:val="21"/>
        </w:rPr>
        <w:t xml:space="preserve"> conversation thread. Question renders as typed input, then the answer streams token by token exactly as in production.</w:t>
      </w:r>
    </w:p>
    <w:p>
      <w:pPr>
        <w:pStyle w:val="ListParagraph"/>
        <w:numPr>
          <w:ilvl w:val="0"/>
          <w:numId w:val="2"/>
        </w:numPr>
        <w:spacing w:after="70" w:line="268"/>
      </w:pPr>
      <w:r>
        <w:rPr>
          <w:rFonts w:ascii="Calibri" w:cs="Calibri" w:eastAsia="Calibri" w:hAnsi="Calibri"/>
          <w:b/>
          <w:bCs/>
          <w:color w:val="0B2C4D"/>
          <w:sz w:val="21"/>
          <w:szCs w:val="21"/>
        </w:rPr>
        <w:t xml:space="preserve">Answer composition:</w:t>
      </w:r>
      <w:r>
        <w:rPr>
          <w:rFonts w:ascii="Calibri" w:cs="Calibri" w:eastAsia="Calibri" w:hAnsi="Calibri"/>
          <w:color w:val="1F2A33"/>
          <w:sz w:val="21"/>
          <w:szCs w:val="21"/>
        </w:rPr>
        <w:t xml:space="preserve"> a one-sentence headline finding, a supporting visualization, a compact data table, the KPI definition used, an explicit as-of timestamp, and a citation block naming the data products and columns consulted.</w:t>
      </w:r>
    </w:p>
    <w:p>
      <w:pPr>
        <w:pStyle w:val="ListParagraph"/>
        <w:numPr>
          <w:ilvl w:val="0"/>
          <w:numId w:val="2"/>
        </w:numPr>
        <w:spacing w:after="70" w:line="268"/>
      </w:pPr>
      <w:r>
        <w:rPr>
          <w:rFonts w:ascii="Calibri" w:cs="Calibri" w:eastAsia="Calibri" w:hAnsi="Calibri"/>
          <w:b/>
          <w:bCs/>
          <w:color w:val="0B2C4D"/>
          <w:sz w:val="21"/>
          <w:szCs w:val="21"/>
        </w:rPr>
        <w:t xml:space="preserve">Right rail:</w:t>
      </w:r>
      <w:r>
        <w:rPr>
          <w:rFonts w:ascii="Calibri" w:cs="Calibri" w:eastAsia="Calibri" w:hAnsi="Calibri"/>
          <w:color w:val="1F2A33"/>
          <w:sz w:val="21"/>
          <w:szCs w:val="21"/>
        </w:rPr>
        <w:t xml:space="preserve"> "How this answer was produced" — the tool calls made, the products queried, the rows scanned, latency and cost. Transparency is the demo’s persuasive core, not a debug view.</w:t>
      </w:r>
    </w:p>
    <w:p>
      <w:pPr>
        <w:pStyle w:val="ListParagraph"/>
        <w:numPr>
          <w:ilvl w:val="0"/>
          <w:numId w:val="2"/>
        </w:numPr>
        <w:spacing w:after="70" w:line="268"/>
      </w:pPr>
      <w:r>
        <w:rPr>
          <w:rFonts w:ascii="Calibri" w:cs="Calibri" w:eastAsia="Calibri" w:hAnsi="Calibri"/>
          <w:b/>
          <w:bCs/>
          <w:color w:val="0B2C4D"/>
          <w:sz w:val="21"/>
          <w:szCs w:val="21"/>
        </w:rPr>
        <w:t xml:space="preserve">Below the thread:</w:t>
      </w:r>
      <w:r>
        <w:rPr>
          <w:rFonts w:ascii="Calibri" w:cs="Calibri" w:eastAsia="Calibri" w:hAnsi="Calibri"/>
          <w:color w:val="1F2A33"/>
          <w:sz w:val="21"/>
          <w:szCs w:val="21"/>
        </w:rPr>
        <w:t xml:space="preserve"> free-text input labelled with the active tier (Demo data / Live data), plus follow-up chips suggesting the next question.</w:t>
      </w:r>
    </w:p>
    <w:p>
      <w:pPr>
        <w:pStyle w:val="Heading2"/>
        <w:spacing w:after="120" w:before="280"/>
      </w:pPr>
      <w:r>
        <w:rPr>
          <w:rFonts w:ascii="Calibri" w:cs="Calibri" w:eastAsia="Calibri" w:hAnsi="Calibri"/>
          <w:b/>
          <w:bCs/>
          <w:color w:val="117A8B"/>
          <w:sz w:val="25"/>
          <w:szCs w:val="25"/>
        </w:rPr>
        <w:t xml:space="preserve">12.2 Curated Exchange Definition</w:t>
      </w:r>
    </w:p>
    <w:p>
      <w:pPr>
        <w:spacing w:after="120" w:line="276"/>
        <w:jc w:val="left"/>
      </w:pPr>
      <w:r>
        <w:rPr>
          <w:rFonts w:ascii="Calibri" w:cs="Calibri" w:eastAsia="Calibri" w:hAnsi="Calibri"/>
          <w:b w:val="false"/>
          <w:bCs w:val="false"/>
          <w:i w:val="false"/>
          <w:iCs w:val="false"/>
          <w:color w:val="1F2A33"/>
          <w:sz w:val="21"/>
          <w:szCs w:val="21"/>
        </w:rPr>
        <w:t xml:space="preserve">Each of the five-plus exchanges is authored as data and stored with the agent manifest:</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demo_exchanges:</w:t>
            </w:r>
          </w:p>
          <w:p>
            <w:pPr>
              <w:spacing w:after="0" w:line="240"/>
            </w:pPr>
            <w:r>
              <w:rPr>
                <w:rFonts w:ascii="Consolas" w:cs="Consolas" w:eastAsia="Consolas" w:hAnsi="Consolas"/>
                <w:color w:val="16323F"/>
                <w:sz w:val="16"/>
                <w:szCs w:val="16"/>
              </w:rPr>
              <w:t xml:space="preserve">  - id: DEMO-AG-TEL-001-03</w:t>
            </w:r>
          </w:p>
          <w:p>
            <w:pPr>
              <w:spacing w:after="0" w:line="240"/>
            </w:pPr>
            <w:r>
              <w:rPr>
                <w:rFonts w:ascii="Consolas" w:cs="Consolas" w:eastAsia="Consolas" w:hAnsi="Consolas"/>
                <w:color w:val="16323F"/>
                <w:sz w:val="16"/>
                <w:szCs w:val="16"/>
              </w:rPr>
              <w:t xml:space="preserve">    question: "Which customer segments drove the churn increase last quarter?"</w:t>
            </w:r>
          </w:p>
          <w:p>
            <w:pPr>
              <w:spacing w:after="0" w:line="240"/>
            </w:pPr>
            <w:r>
              <w:rPr>
                <w:rFonts w:ascii="Consolas" w:cs="Consolas" w:eastAsia="Consolas" w:hAnsi="Consolas"/>
                <w:color w:val="16323F"/>
                <w:sz w:val="16"/>
                <w:szCs w:val="16"/>
              </w:rPr>
              <w:t xml:space="preserve">    kpi_class: "KPI-CHURN-001"</w:t>
            </w:r>
          </w:p>
          <w:p>
            <w:pPr>
              <w:spacing w:after="0" w:line="240"/>
            </w:pPr>
            <w:r>
              <w:rPr>
                <w:rFonts w:ascii="Consolas" w:cs="Consolas" w:eastAsia="Consolas" w:hAnsi="Consolas"/>
                <w:color w:val="16323F"/>
                <w:sz w:val="16"/>
                <w:szCs w:val="16"/>
              </w:rPr>
              <w:t xml:space="preserve">    analysis_type: driver_ranking</w:t>
            </w:r>
          </w:p>
          <w:p>
            <w:pPr>
              <w:spacing w:after="0" w:line="240"/>
            </w:pPr>
            <w:r>
              <w:rPr>
                <w:rFonts w:ascii="Consolas" w:cs="Consolas" w:eastAsia="Consolas" w:hAnsi="Consolas"/>
                <w:color w:val="16323F"/>
                <w:sz w:val="16"/>
                <w:szCs w:val="16"/>
              </w:rPr>
              <w:t xml:space="preserve">    expected_answer_shape:</w:t>
            </w:r>
          </w:p>
          <w:p>
            <w:pPr>
              <w:spacing w:after="0" w:line="240"/>
            </w:pPr>
            <w:r>
              <w:rPr>
                <w:rFonts w:ascii="Consolas" w:cs="Consolas" w:eastAsia="Consolas" w:hAnsi="Consolas"/>
                <w:color w:val="16323F"/>
                <w:sz w:val="16"/>
                <w:szCs w:val="16"/>
              </w:rPr>
              <w:t xml:space="preserve">      headline: "single sentence naming the top driver segment and its contribution"</w:t>
            </w:r>
          </w:p>
          <w:p>
            <w:pPr>
              <w:spacing w:after="0" w:line="240"/>
            </w:pPr>
            <w:r>
              <w:rPr>
                <w:rFonts w:ascii="Consolas" w:cs="Consolas" w:eastAsia="Consolas" w:hAnsi="Consolas"/>
                <w:color w:val="16323F"/>
                <w:sz w:val="16"/>
                <w:szCs w:val="16"/>
              </w:rPr>
              <w:t xml:space="preserve">      visual: bar_chart          # segment on x, churn delta on y</w:t>
            </w:r>
          </w:p>
          <w:p>
            <w:pPr>
              <w:spacing w:after="0" w:line="240"/>
            </w:pPr>
            <w:r>
              <w:rPr>
                <w:rFonts w:ascii="Consolas" w:cs="Consolas" w:eastAsia="Consolas" w:hAnsi="Consolas"/>
                <w:color w:val="16323F"/>
                <w:sz w:val="16"/>
                <w:szCs w:val="16"/>
              </w:rPr>
              <w:t xml:space="preserve">      table_columns: [segment, churn_rate_prior, churn_rate_current, delta_pp, contribution_pct]</w:t>
            </w:r>
          </w:p>
          <w:p>
            <w:pPr>
              <w:spacing w:after="0" w:line="240"/>
            </w:pPr>
            <w:r>
              <w:rPr>
                <w:rFonts w:ascii="Consolas" w:cs="Consolas" w:eastAsia="Consolas" w:hAnsi="Consolas"/>
                <w:color w:val="16323F"/>
                <w:sz w:val="16"/>
                <w:szCs w:val="16"/>
              </w:rPr>
              <w:t xml:space="preserve">      must_cite: ["DP-TEL-001", "KPI-CHURN-001"]</w:t>
            </w:r>
          </w:p>
          <w:p>
            <w:pPr>
              <w:spacing w:after="0" w:line="240"/>
            </w:pPr>
            <w:r>
              <w:rPr>
                <w:rFonts w:ascii="Consolas" w:cs="Consolas" w:eastAsia="Consolas" w:hAnsi="Consolas"/>
                <w:color w:val="16323F"/>
                <w:sz w:val="16"/>
                <w:szCs w:val="16"/>
              </w:rPr>
              <w:t xml:space="preserve">    data_tier: demo              # demo | live</w:t>
            </w:r>
          </w:p>
          <w:p>
            <w:pPr>
              <w:spacing w:after="0" w:line="240"/>
            </w:pPr>
            <w:r>
              <w:rPr>
                <w:rFonts w:ascii="Consolas" w:cs="Consolas" w:eastAsia="Consolas" w:hAnsi="Consolas"/>
                <w:color w:val="16323F"/>
                <w:sz w:val="16"/>
                <w:szCs w:val="16"/>
              </w:rPr>
              <w:t xml:space="preserve">    max_latency_ms: 6000</w:t>
            </w:r>
          </w:p>
          <w:p>
            <w:pPr>
              <w:spacing w:after="0" w:line="240"/>
            </w:pPr>
            <w:r>
              <w:rPr>
                <w:rFonts w:ascii="Consolas" w:cs="Consolas" w:eastAsia="Consolas" w:hAnsi="Consolas"/>
                <w:color w:val="16323F"/>
                <w:sz w:val="16"/>
                <w:szCs w:val="16"/>
              </w:rPr>
              <w:t xml:space="preserve">    evaluation:</w:t>
            </w:r>
          </w:p>
          <w:p>
            <w:pPr>
              <w:spacing w:after="0" w:line="240"/>
            </w:pPr>
            <w:r>
              <w:rPr>
                <w:rFonts w:ascii="Consolas" w:cs="Consolas" w:eastAsia="Consolas" w:hAnsi="Consolas"/>
                <w:color w:val="16323F"/>
                <w:sz w:val="16"/>
                <w:szCs w:val="16"/>
              </w:rPr>
              <w:t xml:space="preserve">      golden_answer_ref: "eval/AG-TEL-001/q3.json"</w:t>
            </w:r>
          </w:p>
          <w:p>
            <w:pPr>
              <w:spacing w:after="0" w:line="240"/>
            </w:pPr>
            <w:r>
              <w:rPr>
                <w:rFonts w:ascii="Consolas" w:cs="Consolas" w:eastAsia="Consolas" w:hAnsi="Consolas"/>
                <w:color w:val="16323F"/>
                <w:sz w:val="16"/>
                <w:szCs w:val="16"/>
              </w:rPr>
              <w:t xml:space="preserve">      tolerance_pct: 2.0</w:t>
            </w:r>
          </w:p>
          <w:p>
            <w:pPr>
              <w:spacing w:after="0" w:line="240"/>
            </w:pPr>
            <w:r>
              <w:rPr>
                <w:rFonts w:ascii="Consolas" w:cs="Consolas" w:eastAsia="Consolas" w:hAnsi="Consolas"/>
                <w:color w:val="16323F"/>
                <w:sz w:val="16"/>
                <w:szCs w:val="16"/>
              </w:rPr>
              <w:t xml:space="preserve">    last_validated: 2026-08-28</w:t>
            </w:r>
          </w:p>
        </w:tc>
      </w:tr>
    </w:tbl>
    <w:p>
      <w:pPr>
        <w:pStyle w:val="Heading2"/>
        <w:spacing w:after="120" w:before="280"/>
      </w:pPr>
      <w:r>
        <w:rPr>
          <w:rFonts w:ascii="Calibri" w:cs="Calibri" w:eastAsia="Calibri" w:hAnsi="Calibri"/>
          <w:b/>
          <w:bCs/>
          <w:color w:val="117A8B"/>
          <w:sz w:val="25"/>
          <w:szCs w:val="25"/>
        </w:rPr>
        <w:t xml:space="preserve">12.3 Rules of the Console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419"/>
        <w:gridCol w:w="7661"/>
      </w:tblGrid>
      <w:tr>
        <w:trPr>
          <w:tblHeader/>
        </w:trPr>
        <w:tc>
          <w:tcPr>
            <w:tcW w:type="dxa" w:w="241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Rule</w:t>
            </w:r>
          </w:p>
        </w:tc>
        <w:tc>
          <w:tcPr>
            <w:tcW w:type="dxa" w:w="766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Rationale</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No mocked answers</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console executes the real agent against a real dataset — demo tier uses a synthetic dataset generated to be statistically realistic and referentially complete. A recorded or hardcoded answer is prohibited.</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Tier is always visible</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persistent badge states Demo data or Live data. Demo-tier answers carry a footer line stating the data is synthetic.</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Demo tier is never real regulated data</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Restricted-tier products never render real values in the console under any role.</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Every numeric claim is cited</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Uncited numbers do not render; the answer is returned as a failure with an explanation instead.</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Curated exchanges are validated nightly</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scheduled job runs all curated questions against the golden answers. A failure marks the exchange stale, removes it from the front-page theatre, and notifies the owner.</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Latency budget</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p95 under 6 seconds for curated questions. Slower agents are excluded from the front-page theatre until remediated.</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Feedback is captured</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Thumbs up/down plus an optional reason on every answer, written to the evaluation corpus and surfaced in the owner console.</w:t>
            </w:r>
          </w:p>
        </w:tc>
      </w:tr>
    </w:tbl>
    <w:p>
      <w:pPr>
        <w:pStyle w:val="Heading2"/>
        <w:spacing w:after="120" w:before="280"/>
      </w:pPr>
      <w:r>
        <w:rPr>
          <w:rFonts w:ascii="Calibri" w:cs="Calibri" w:eastAsia="Calibri" w:hAnsi="Calibri"/>
          <w:b/>
          <w:bCs/>
          <w:color w:val="117A8B"/>
          <w:sz w:val="25"/>
          <w:szCs w:val="25"/>
        </w:rPr>
        <w:t xml:space="preserve">12.4 Demo Data Tier</w:t>
      </w:r>
    </w:p>
    <w:p>
      <w:pPr>
        <w:pStyle w:val="ListParagraph"/>
        <w:numPr>
          <w:ilvl w:val="0"/>
          <w:numId w:val="2"/>
        </w:numPr>
        <w:spacing w:after="70" w:line="268"/>
      </w:pPr>
      <w:r>
        <w:rPr>
          <w:rFonts w:ascii="Calibri" w:cs="Calibri" w:eastAsia="Calibri" w:hAnsi="Calibri"/>
          <w:color w:val="1F2A33"/>
          <w:sz w:val="21"/>
          <w:szCs w:val="21"/>
        </w:rPr>
        <w:t xml:space="preserve">A synthetic dataset per data product, generated to preserve distributions, seasonality, referential integrity and cardinality without containing any real subject data.</w:t>
      </w:r>
    </w:p>
    <w:p>
      <w:pPr>
        <w:pStyle w:val="ListParagraph"/>
        <w:numPr>
          <w:ilvl w:val="0"/>
          <w:numId w:val="2"/>
        </w:numPr>
        <w:spacing w:after="70" w:line="268"/>
      </w:pPr>
      <w:r>
        <w:rPr>
          <w:rFonts w:ascii="Calibri" w:cs="Calibri" w:eastAsia="Calibri" w:hAnsi="Calibri"/>
          <w:color w:val="1F2A33"/>
          <w:sz w:val="21"/>
          <w:szCs w:val="21"/>
        </w:rPr>
        <w:t xml:space="preserve">Generated from the product contract and profile statistics; regenerated whenever the schema version changes so the demo never drifts from the live shape.</w:t>
      </w:r>
    </w:p>
    <w:p>
      <w:pPr>
        <w:pStyle w:val="ListParagraph"/>
        <w:numPr>
          <w:ilvl w:val="0"/>
          <w:numId w:val="2"/>
        </w:numPr>
        <w:spacing w:after="70" w:line="268"/>
      </w:pPr>
      <w:r>
        <w:rPr>
          <w:rFonts w:ascii="Calibri" w:cs="Calibri" w:eastAsia="Calibri" w:hAnsi="Calibri"/>
          <w:color w:val="1F2A33"/>
          <w:sz w:val="21"/>
          <w:szCs w:val="21"/>
        </w:rPr>
        <w:t xml:space="preserve">Explicitly labelled at every touchpoint and stored in a physically separate schema with no path to production data.</w:t>
      </w:r>
    </w:p>
    <w:p>
      <w:pPr>
        <w:pStyle w:val="ListParagraph"/>
        <w:numPr>
          <w:ilvl w:val="0"/>
          <w:numId w:val="2"/>
        </w:numPr>
        <w:spacing w:after="70" w:line="268"/>
      </w:pPr>
      <w:r>
        <w:rPr>
          <w:rFonts w:ascii="Calibri" w:cs="Calibri" w:eastAsia="Calibri" w:hAnsi="Calibri"/>
          <w:color w:val="1F2A33"/>
          <w:sz w:val="21"/>
          <w:szCs w:val="21"/>
        </w:rPr>
        <w:t xml:space="preserve">Sized for sub-second query response so demo latency is dominated by model inference rather than scan time.</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13. Access Request &amp; Entitlement Workflow</w:t>
      </w:r>
    </w:p>
    <w:p>
      <w:pPr>
        <w:spacing w:after="120" w:line="276"/>
        <w:jc w:val="left"/>
      </w:pPr>
      <w:r>
        <w:rPr>
          <w:rFonts w:ascii="Calibri" w:cs="Calibri" w:eastAsia="Calibri" w:hAnsi="Calibri"/>
          <w:b w:val="false"/>
          <w:bCs w:val="false"/>
          <w:i w:val="false"/>
          <w:iCs w:val="false"/>
          <w:color w:val="1F2A33"/>
          <w:sz w:val="21"/>
          <w:szCs w:val="21"/>
        </w:rPr>
        <w:t xml:space="preserve">One workflow engine serves all three request types. Access requests are the highest-volume path and the one whose latency most directly determines whether the marketplace succeeds.</w:t>
      </w:r>
    </w:p>
    <w:p>
      <w:pPr>
        <w:pStyle w:val="Heading2"/>
        <w:spacing w:after="120" w:before="280"/>
      </w:pPr>
      <w:r>
        <w:rPr>
          <w:rFonts w:ascii="Calibri" w:cs="Calibri" w:eastAsia="Calibri" w:hAnsi="Calibri"/>
          <w:b/>
          <w:bCs/>
          <w:color w:val="117A8B"/>
          <w:sz w:val="25"/>
          <w:szCs w:val="25"/>
        </w:rPr>
        <w:t xml:space="preserve">13.1 Request Form</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Field</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Behaviour</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Assets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Pre-filled from context. Multi-asset requests are supported and evaluated as one unit so a consumer never files four tickets for one analysis.</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Access level</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Read metadata · Read data · Read data with PII · Agent invocation · Write-back (where the product supports it)</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Purpose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Required free text plus a controlled purpose category. The purpose is bound to the grant, logged with every query, and re-verified at renewal.</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Duration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30 / 90 / 180 / 365 days or project-bound. Perpetual access requires administrator justification and is reviewed quarterly.</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Consumption surface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Which endpoints are needed — determines which scopes are provisioned</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Legal basis / attestation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Required for Confidential and Restricted tiers; renders the specific obligations from the contract and requires explicit acceptance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 centre</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Required where the product charges back; drives cost attribution in Section 18</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Downstream sharing</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Declaration of whether outputs will be shared beyond the requester’s team, and with whom</w:t>
            </w:r>
          </w:p>
        </w:tc>
      </w:tr>
    </w:tbl>
    <w:p>
      <w:pPr>
        <w:pStyle w:val="Heading2"/>
        <w:spacing w:after="120" w:before="280"/>
      </w:pPr>
      <w:r>
        <w:rPr>
          <w:rFonts w:ascii="Calibri" w:cs="Calibri" w:eastAsia="Calibri" w:hAnsi="Calibri"/>
          <w:b/>
          <w:bCs/>
          <w:color w:val="117A8B"/>
          <w:sz w:val="25"/>
          <w:szCs w:val="25"/>
        </w:rPr>
        <w:t xml:space="preserve">13.2 Policy Evaluation — Runs Before Submission</w:t>
      </w:r>
    </w:p>
    <w:p>
      <w:pPr>
        <w:spacing w:after="120" w:line="276"/>
        <w:jc w:val="left"/>
      </w:pPr>
      <w:r>
        <w:rPr>
          <w:rFonts w:ascii="Calibri" w:cs="Calibri" w:eastAsia="Calibri" w:hAnsi="Calibri"/>
          <w:b w:val="false"/>
          <w:bCs w:val="false"/>
          <w:i w:val="false"/>
          <w:iCs w:val="false"/>
          <w:color w:val="1F2A33"/>
          <w:sz w:val="21"/>
          <w:szCs w:val="21"/>
        </w:rPr>
        <w:t xml:space="preserve">The moment the form is complete, the policy engine evaluates the request and shows the consumer exactly what will happen. No blind submissions.</w:t>
      </w:r>
    </w:p>
    <w:p>
      <w:pPr>
        <w:pStyle w:val="ListParagraph"/>
        <w:numPr>
          <w:ilvl w:val="0"/>
          <w:numId w:val="3"/>
        </w:numPr>
        <w:spacing w:after="70" w:line="268"/>
      </w:pPr>
      <w:r>
        <w:rPr>
          <w:rFonts w:ascii="Calibri" w:cs="Calibri" w:eastAsia="Calibri" w:hAnsi="Calibri"/>
          <w:b/>
          <w:bCs/>
          <w:color w:val="0B2C4D"/>
          <w:sz w:val="21"/>
          <w:szCs w:val="21"/>
        </w:rPr>
        <w:t xml:space="preserve">Auto-approve</w:t>
      </w:r>
      <w:r>
        <w:rPr>
          <w:rFonts w:ascii="Calibri" w:cs="Calibri" w:eastAsia="Calibri" w:hAnsi="Calibri"/>
          <w:color w:val="1F2A33"/>
          <w:sz w:val="21"/>
          <w:szCs w:val="21"/>
        </w:rPr>
        <w:t xml:space="preserve"> — requester role is in the product’s pre-approved list, sensitivity is Internal or below, no PII, and purpose category is permitted. Provisioned immediately; owner notified.</w:t>
      </w:r>
    </w:p>
    <w:p>
      <w:pPr>
        <w:pStyle w:val="ListParagraph"/>
        <w:numPr>
          <w:ilvl w:val="0"/>
          <w:numId w:val="3"/>
        </w:numPr>
        <w:spacing w:after="70" w:line="268"/>
      </w:pPr>
      <w:r>
        <w:rPr>
          <w:rFonts w:ascii="Calibri" w:cs="Calibri" w:eastAsia="Calibri" w:hAnsi="Calibri"/>
          <w:b/>
          <w:bCs/>
          <w:color w:val="0B2C4D"/>
          <w:sz w:val="21"/>
          <w:szCs w:val="21"/>
        </w:rPr>
        <w:t xml:space="preserve">Owner approval</w:t>
      </w:r>
      <w:r>
        <w:rPr>
          <w:rFonts w:ascii="Calibri" w:cs="Calibri" w:eastAsia="Calibri" w:hAnsi="Calibri"/>
          <w:color w:val="1F2A33"/>
          <w:sz w:val="21"/>
          <w:szCs w:val="21"/>
        </w:rPr>
        <w:t xml:space="preserve"> — default path for Internal and Confidential assets. SLA: 2 business days.</w:t>
      </w:r>
    </w:p>
    <w:p>
      <w:pPr>
        <w:pStyle w:val="ListParagraph"/>
        <w:numPr>
          <w:ilvl w:val="0"/>
          <w:numId w:val="3"/>
        </w:numPr>
        <w:spacing w:after="70" w:line="268"/>
      </w:pPr>
      <w:r>
        <w:rPr>
          <w:rFonts w:ascii="Calibri" w:cs="Calibri" w:eastAsia="Calibri" w:hAnsi="Calibri"/>
          <w:b/>
          <w:bCs/>
          <w:color w:val="0B2C4D"/>
          <w:sz w:val="21"/>
          <w:szCs w:val="21"/>
        </w:rPr>
        <w:t xml:space="preserve">Owner + steward approval</w:t>
      </w:r>
      <w:r>
        <w:rPr>
          <w:rFonts w:ascii="Calibri" w:cs="Calibri" w:eastAsia="Calibri" w:hAnsi="Calibri"/>
          <w:color w:val="1F2A33"/>
          <w:sz w:val="21"/>
          <w:szCs w:val="21"/>
        </w:rPr>
        <w:t xml:space="preserve"> — Confidential assets containing classified columns. SLA: 3 business days.</w:t>
      </w:r>
    </w:p>
    <w:p>
      <w:pPr>
        <w:pStyle w:val="ListParagraph"/>
        <w:numPr>
          <w:ilvl w:val="0"/>
          <w:numId w:val="3"/>
        </w:numPr>
        <w:spacing w:after="70" w:line="268"/>
      </w:pPr>
      <w:r>
        <w:rPr>
          <w:rFonts w:ascii="Calibri" w:cs="Calibri" w:eastAsia="Calibri" w:hAnsi="Calibri"/>
          <w:b/>
          <w:bCs/>
          <w:color w:val="0B2C4D"/>
          <w:sz w:val="21"/>
          <w:szCs w:val="21"/>
        </w:rPr>
        <w:t xml:space="preserve">Owner + privacy + security approval</w:t>
      </w:r>
      <w:r>
        <w:rPr>
          <w:rFonts w:ascii="Calibri" w:cs="Calibri" w:eastAsia="Calibri" w:hAnsi="Calibri"/>
          <w:color w:val="1F2A33"/>
          <w:sz w:val="21"/>
          <w:szCs w:val="21"/>
        </w:rPr>
        <w:t xml:space="preserve"> — Restricted tier, cross-border access, or any PII-inclusive grant. SLA: 5 business days.</w:t>
      </w:r>
    </w:p>
    <w:p>
      <w:pPr>
        <w:pStyle w:val="ListParagraph"/>
        <w:numPr>
          <w:ilvl w:val="0"/>
          <w:numId w:val="3"/>
        </w:numPr>
        <w:spacing w:after="70" w:line="268"/>
      </w:pPr>
      <w:r>
        <w:rPr>
          <w:rFonts w:ascii="Calibri" w:cs="Calibri" w:eastAsia="Calibri" w:hAnsi="Calibri"/>
          <w:b/>
          <w:bCs/>
          <w:color w:val="0B2C4D"/>
          <w:sz w:val="21"/>
          <w:szCs w:val="21"/>
        </w:rPr>
        <w:t xml:space="preserve">Blocked</w:t>
      </w:r>
      <w:r>
        <w:rPr>
          <w:rFonts w:ascii="Calibri" w:cs="Calibri" w:eastAsia="Calibri" w:hAnsi="Calibri"/>
          <w:color w:val="1F2A33"/>
          <w:sz w:val="21"/>
          <w:szCs w:val="21"/>
        </w:rPr>
        <w:t xml:space="preserve"> — the request violates a hard policy (residency, licence restriction, segregation of duties). The consumer is told which policy and offered an alternative asset where the mesh identifies a lower-sensitivity equivalent.</w:t>
      </w:r>
    </w:p>
    <w:p>
      <w:pPr>
        <w:pStyle w:val="Heading2"/>
        <w:spacing w:after="120" w:before="280"/>
      </w:pPr>
      <w:r>
        <w:rPr>
          <w:rFonts w:ascii="Calibri" w:cs="Calibri" w:eastAsia="Calibri" w:hAnsi="Calibri"/>
          <w:b/>
          <w:bCs/>
          <w:color w:val="117A8B"/>
          <w:sz w:val="25"/>
          <w:szCs w:val="25"/>
        </w:rPr>
        <w:t xml:space="preserve">13.3 Approval Experience</w:t>
      </w:r>
    </w:p>
    <w:p>
      <w:pPr>
        <w:pStyle w:val="ListParagraph"/>
        <w:numPr>
          <w:ilvl w:val="0"/>
          <w:numId w:val="2"/>
        </w:numPr>
        <w:spacing w:after="70" w:line="268"/>
      </w:pPr>
      <w:r>
        <w:rPr>
          <w:rFonts w:ascii="Calibri" w:cs="Calibri" w:eastAsia="Calibri" w:hAnsi="Calibri"/>
          <w:color w:val="1F2A33"/>
          <w:sz w:val="21"/>
          <w:szCs w:val="21"/>
        </w:rPr>
        <w:t xml:space="preserve">Approvers act from the console, from email, or from Slack/Teams — the same decision object, whichever surface is used.</w:t>
      </w:r>
    </w:p>
    <w:p>
      <w:pPr>
        <w:pStyle w:val="ListParagraph"/>
        <w:numPr>
          <w:ilvl w:val="0"/>
          <w:numId w:val="2"/>
        </w:numPr>
        <w:spacing w:after="70" w:line="268"/>
      </w:pPr>
      <w:r>
        <w:rPr>
          <w:rFonts w:ascii="Calibri" w:cs="Calibri" w:eastAsia="Calibri" w:hAnsi="Calibri"/>
          <w:color w:val="1F2A33"/>
          <w:sz w:val="21"/>
          <w:szCs w:val="21"/>
        </w:rPr>
        <w:t xml:space="preserve">The approval card shows the requester, their organizational unit, the purpose, the assets, what the requester already has access to, and any prior denials — enough to decide in under a minute.</w:t>
      </w:r>
    </w:p>
    <w:p>
      <w:pPr>
        <w:pStyle w:val="ListParagraph"/>
        <w:numPr>
          <w:ilvl w:val="0"/>
          <w:numId w:val="2"/>
        </w:numPr>
        <w:spacing w:after="70" w:line="268"/>
      </w:pPr>
      <w:r>
        <w:rPr>
          <w:rFonts w:ascii="Calibri" w:cs="Calibri" w:eastAsia="Calibri" w:hAnsi="Calibri"/>
          <w:color w:val="1F2A33"/>
          <w:sz w:val="21"/>
          <w:szCs w:val="21"/>
        </w:rPr>
        <w:t xml:space="preserve">Delegation and out-of-office fallback are configured per owner; an unattended request escalates to the domain steward at 80% of SLA and to the architect at breach.</w:t>
      </w:r>
    </w:p>
    <w:p>
      <w:pPr>
        <w:pStyle w:val="ListParagraph"/>
        <w:numPr>
          <w:ilvl w:val="0"/>
          <w:numId w:val="2"/>
        </w:numPr>
        <w:spacing w:after="70" w:line="268"/>
      </w:pPr>
      <w:r>
        <w:rPr>
          <w:rFonts w:ascii="Calibri" w:cs="Calibri" w:eastAsia="Calibri" w:hAnsi="Calibri"/>
          <w:color w:val="1F2A33"/>
          <w:sz w:val="21"/>
          <w:szCs w:val="21"/>
        </w:rPr>
        <w:t xml:space="preserve">Partial approval is supported: an approver may grant a subset of assets or downgrade the access level, with a required reason that is returned to the requester.</w:t>
      </w:r>
    </w:p>
    <w:p>
      <w:pPr>
        <w:pStyle w:val="ListParagraph"/>
        <w:numPr>
          <w:ilvl w:val="0"/>
          <w:numId w:val="2"/>
        </w:numPr>
        <w:spacing w:after="70" w:line="268"/>
      </w:pPr>
      <w:r>
        <w:rPr>
          <w:rFonts w:ascii="Calibri" w:cs="Calibri" w:eastAsia="Calibri" w:hAnsi="Calibri"/>
          <w:color w:val="1F2A33"/>
          <w:sz w:val="21"/>
          <w:szCs w:val="21"/>
        </w:rPr>
        <w:t xml:space="preserve">Every decision records actor, timestamp, decision, reason and the policy version in force.</w:t>
      </w:r>
    </w:p>
    <w:p>
      <w:pPr>
        <w:pStyle w:val="Heading2"/>
        <w:spacing w:after="120" w:before="280"/>
      </w:pPr>
      <w:r>
        <w:rPr>
          <w:rFonts w:ascii="Calibri" w:cs="Calibri" w:eastAsia="Calibri" w:hAnsi="Calibri"/>
          <w:b/>
          <w:bCs/>
          <w:color w:val="117A8B"/>
          <w:sz w:val="25"/>
          <w:szCs w:val="25"/>
        </w:rPr>
        <w:t xml:space="preserve">13.4 Provisioning</w:t>
      </w:r>
    </w:p>
    <w:p>
      <w:pPr>
        <w:spacing w:after="120" w:line="276"/>
        <w:jc w:val="left"/>
      </w:pPr>
      <w:r>
        <w:rPr>
          <w:rFonts w:ascii="Calibri" w:cs="Calibri" w:eastAsia="Calibri" w:hAnsi="Calibri"/>
          <w:b w:val="false"/>
          <w:bCs w:val="false"/>
          <w:i w:val="false"/>
          <w:iCs w:val="false"/>
          <w:color w:val="1F2A33"/>
          <w:sz w:val="21"/>
          <w:szCs w:val="21"/>
        </w:rPr>
        <w:t xml:space="preserve">On approval, provisioning is mechanical. Nobody edits a role by hand.</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on_approval:</w:t>
            </w:r>
          </w:p>
          <w:p>
            <w:pPr>
              <w:spacing w:after="0" w:line="240"/>
            </w:pPr>
            <w:r>
              <w:rPr>
                <w:rFonts w:ascii="Consolas" w:cs="Consolas" w:eastAsia="Consolas" w:hAnsi="Consolas"/>
                <w:color w:val="16323F"/>
                <w:sz w:val="16"/>
                <w:szCs w:val="16"/>
              </w:rPr>
              <w:t xml:space="preserve">  1. resolve target platform role      -&gt; role naming convention: MKT_&lt;PRODUCT&gt;_&lt;LEVEL&gt;</w:t>
            </w:r>
          </w:p>
          <w:p>
            <w:pPr>
              <w:spacing w:after="0" w:line="240"/>
            </w:pPr>
            <w:r>
              <w:rPr>
                <w:rFonts w:ascii="Consolas" w:cs="Consolas" w:eastAsia="Consolas" w:hAnsi="Consolas"/>
                <w:color w:val="16323F"/>
                <w:sz w:val="16"/>
                <w:szCs w:val="16"/>
              </w:rPr>
              <w:t xml:space="preserve">  2. grant scoped role to principal    -&gt; Snowflake / UC / IAM via connector</w:t>
            </w:r>
          </w:p>
          <w:p>
            <w:pPr>
              <w:spacing w:after="0" w:line="240"/>
            </w:pPr>
            <w:r>
              <w:rPr>
                <w:rFonts w:ascii="Consolas" w:cs="Consolas" w:eastAsia="Consolas" w:hAnsi="Consolas"/>
                <w:color w:val="16323F"/>
                <w:sz w:val="16"/>
                <w:szCs w:val="16"/>
              </w:rPr>
              <w:t xml:space="preserve">  3. apply masking + row policy         -&gt; inherited from product classification</w:t>
            </w:r>
          </w:p>
          <w:p>
            <w:pPr>
              <w:spacing w:after="0" w:line="240"/>
            </w:pPr>
            <w:r>
              <w:rPr>
                <w:rFonts w:ascii="Consolas" w:cs="Consolas" w:eastAsia="Consolas" w:hAnsi="Consolas"/>
                <w:color w:val="16323F"/>
                <w:sz w:val="16"/>
                <w:szCs w:val="16"/>
              </w:rPr>
              <w:t xml:space="preserve">  4. bind purpose + expiry to grant     -&gt; written to entitlement register</w:t>
            </w:r>
          </w:p>
          <w:p>
            <w:pPr>
              <w:spacing w:after="0" w:line="240"/>
            </w:pPr>
            <w:r>
              <w:rPr>
                <w:rFonts w:ascii="Consolas" w:cs="Consolas" w:eastAsia="Consolas" w:hAnsi="Consolas"/>
                <w:color w:val="16323F"/>
                <w:sz w:val="16"/>
                <w:szCs w:val="16"/>
              </w:rPr>
              <w:t xml:space="preserve">  5. issue OAuth scopes for REST + MCP  -&gt; dp:&lt;id&gt;:read, agent:&lt;id&gt;:invoke</w:t>
            </w:r>
          </w:p>
          <w:p>
            <w:pPr>
              <w:spacing w:after="0" w:line="240"/>
            </w:pPr>
            <w:r>
              <w:rPr>
                <w:rFonts w:ascii="Consolas" w:cs="Consolas" w:eastAsia="Consolas" w:hAnsi="Consolas"/>
                <w:color w:val="16323F"/>
                <w:sz w:val="16"/>
                <w:szCs w:val="16"/>
              </w:rPr>
              <w:t xml:space="preserve">  6. notify consumer                    -&gt; runbook, endpoints, quickstart, academy module</w:t>
            </w:r>
          </w:p>
          <w:p>
            <w:pPr>
              <w:spacing w:after="0" w:line="240"/>
            </w:pPr>
            <w:r>
              <w:rPr>
                <w:rFonts w:ascii="Consolas" w:cs="Consolas" w:eastAsia="Consolas" w:hAnsi="Consolas"/>
                <w:color w:val="16323F"/>
                <w:sz w:val="16"/>
                <w:szCs w:val="16"/>
              </w:rPr>
              <w:t xml:space="preserve">  7. write immutable audit record       -&gt; request, decision chain, grant, expiry</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on_expiry_minus_14d:  notify consumer + owner, offer one-click renewal</w:t>
            </w:r>
          </w:p>
          <w:p>
            <w:pPr>
              <w:spacing w:after="0" w:line="240"/>
            </w:pPr>
            <w:r>
              <w:rPr>
                <w:rFonts w:ascii="Consolas" w:cs="Consolas" w:eastAsia="Consolas" w:hAnsi="Consolas"/>
                <w:color w:val="16323F"/>
                <w:sz w:val="16"/>
                <w:szCs w:val="16"/>
              </w:rPr>
              <w:t xml:space="preserve">on_expiry:            revoke automatically, retain audit record, log revocation</w:t>
            </w:r>
          </w:p>
          <w:p>
            <w:pPr>
              <w:spacing w:after="0" w:line="240"/>
            </w:pPr>
            <w:r>
              <w:rPr>
                <w:rFonts w:ascii="Consolas" w:cs="Consolas" w:eastAsia="Consolas" w:hAnsi="Consolas"/>
                <w:color w:val="16323F"/>
                <w:sz w:val="16"/>
                <w:szCs w:val="16"/>
              </w:rPr>
              <w:t xml:space="preserve">on_no_use_60d:        flag dormant grant to owner for revocation (least privilege hygiene)</w:t>
            </w:r>
          </w:p>
        </w:tc>
      </w:tr>
    </w:tbl>
    <w:p>
      <w:pPr>
        <w:pStyle w:val="Heading2"/>
        <w:spacing w:after="120" w:before="280"/>
      </w:pPr>
      <w:r>
        <w:rPr>
          <w:rFonts w:ascii="Calibri" w:cs="Calibri" w:eastAsia="Calibri" w:hAnsi="Calibri"/>
          <w:b/>
          <w:bCs/>
          <w:color w:val="117A8B"/>
          <w:sz w:val="25"/>
          <w:szCs w:val="25"/>
        </w:rPr>
        <w:t xml:space="preserve">13.5 Consumer-Side Views</w:t>
      </w:r>
    </w:p>
    <w:p>
      <w:pPr>
        <w:pStyle w:val="ListParagraph"/>
        <w:numPr>
          <w:ilvl w:val="0"/>
          <w:numId w:val="2"/>
        </w:numPr>
        <w:spacing w:after="70" w:line="268"/>
      </w:pPr>
      <w:r>
        <w:rPr>
          <w:rFonts w:ascii="Calibri" w:cs="Calibri" w:eastAsia="Calibri" w:hAnsi="Calibri"/>
          <w:b/>
          <w:bCs/>
          <w:color w:val="0B2C4D"/>
          <w:sz w:val="21"/>
          <w:szCs w:val="21"/>
        </w:rPr>
        <w:t xml:space="preserve">My access</w:t>
      </w:r>
      <w:r>
        <w:rPr>
          <w:rFonts w:ascii="Calibri" w:cs="Calibri" w:eastAsia="Calibri" w:hAnsi="Calibri"/>
          <w:color w:val="1F2A33"/>
          <w:sz w:val="21"/>
          <w:szCs w:val="21"/>
        </w:rPr>
        <w:t xml:space="preserve"> — everything I hold, with expiry countdowns, purpose, usage in the last 30 days, and one-click renewal or self-revocation.</w:t>
      </w:r>
    </w:p>
    <w:p>
      <w:pPr>
        <w:pStyle w:val="ListParagraph"/>
        <w:numPr>
          <w:ilvl w:val="0"/>
          <w:numId w:val="2"/>
        </w:numPr>
        <w:spacing w:after="70" w:line="268"/>
      </w:pPr>
      <w:r>
        <w:rPr>
          <w:rFonts w:ascii="Calibri" w:cs="Calibri" w:eastAsia="Calibri" w:hAnsi="Calibri"/>
          <w:b/>
          <w:bCs/>
          <w:color w:val="0B2C4D"/>
          <w:sz w:val="21"/>
          <w:szCs w:val="21"/>
        </w:rPr>
        <w:t xml:space="preserve">My requests</w:t>
      </w:r>
      <w:r>
        <w:rPr>
          <w:rFonts w:ascii="Calibri" w:cs="Calibri" w:eastAsia="Calibri" w:hAnsi="Calibri"/>
          <w:color w:val="1F2A33"/>
          <w:sz w:val="21"/>
          <w:szCs w:val="21"/>
        </w:rPr>
        <w:t xml:space="preserve"> — status, current approver, SLA clock, and history.</w:t>
      </w:r>
    </w:p>
    <w:p>
      <w:pPr>
        <w:pStyle w:val="ListParagraph"/>
        <w:numPr>
          <w:ilvl w:val="0"/>
          <w:numId w:val="2"/>
        </w:numPr>
        <w:spacing w:after="70" w:line="268"/>
      </w:pPr>
      <w:r>
        <w:rPr>
          <w:rFonts w:ascii="Calibri" w:cs="Calibri" w:eastAsia="Calibri" w:hAnsi="Calibri"/>
          <w:b/>
          <w:bCs/>
          <w:color w:val="0B2C4D"/>
          <w:sz w:val="21"/>
          <w:szCs w:val="21"/>
        </w:rPr>
        <w:t xml:space="preserve">Approvals queue</w:t>
      </w:r>
      <w:r>
        <w:rPr>
          <w:rFonts w:ascii="Calibri" w:cs="Calibri" w:eastAsia="Calibri" w:hAnsi="Calibri"/>
          <w:color w:val="1F2A33"/>
          <w:sz w:val="21"/>
          <w:szCs w:val="21"/>
        </w:rPr>
        <w:t xml:space="preserve"> — for approvers, with ageing, bulk action for like-for-like requests, and a breach indicator.</w:t>
      </w:r>
    </w:p>
    <w:p>
      <w:pPr>
        <w:pStyle w:val="ListParagraph"/>
        <w:numPr>
          <w:ilvl w:val="0"/>
          <w:numId w:val="2"/>
        </w:numPr>
        <w:spacing w:after="70" w:line="268"/>
      </w:pPr>
      <w:r>
        <w:rPr>
          <w:rFonts w:ascii="Calibri" w:cs="Calibri" w:eastAsia="Calibri" w:hAnsi="Calibri"/>
          <w:b/>
          <w:bCs/>
          <w:color w:val="0B2C4D"/>
          <w:sz w:val="21"/>
          <w:szCs w:val="21"/>
        </w:rPr>
        <w:t xml:space="preserve">Entitlement register</w:t>
      </w:r>
      <w:r>
        <w:rPr>
          <w:rFonts w:ascii="Calibri" w:cs="Calibri" w:eastAsia="Calibri" w:hAnsi="Calibri"/>
          <w:color w:val="1F2A33"/>
          <w:sz w:val="21"/>
          <w:szCs w:val="21"/>
        </w:rPr>
        <w:t xml:space="preserve"> — for security officers: every grant across the estate, filterable by product, person, purpose, sensitivity and expiry, exportable for audit.</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14. Enhancement Request Workflow</w:t>
      </w:r>
    </w:p>
    <w:p>
      <w:pPr>
        <w:spacing w:after="120" w:line="276"/>
        <w:jc w:val="left"/>
      </w:pPr>
      <w:r>
        <w:rPr>
          <w:rFonts w:ascii="Calibri" w:cs="Calibri" w:eastAsia="Calibri" w:hAnsi="Calibri"/>
          <w:b w:val="false"/>
          <w:bCs w:val="false"/>
          <w:i w:val="false"/>
          <w:iCs w:val="false"/>
          <w:color w:val="1F2A33"/>
          <w:sz w:val="21"/>
          <w:szCs w:val="21"/>
        </w:rPr>
        <w:t xml:space="preserve">Enhancement requests are how a published asset improves. They are filed against an existing product or agent and land in that owner’s public backlog.</w:t>
      </w:r>
    </w:p>
    <w:p>
      <w:pPr>
        <w:pStyle w:val="Heading2"/>
        <w:spacing w:after="120" w:before="280"/>
      </w:pPr>
      <w:r>
        <w:rPr>
          <w:rFonts w:ascii="Calibri" w:cs="Calibri" w:eastAsia="Calibri" w:hAnsi="Calibri"/>
          <w:b/>
          <w:bCs/>
          <w:color w:val="117A8B"/>
          <w:sz w:val="25"/>
          <w:szCs w:val="25"/>
        </w:rPr>
        <w:t xml:space="preserve">14.1 Enhancement Types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4234"/>
        <w:gridCol w:w="3830"/>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Type</w:t>
            </w:r>
          </w:p>
        </w:tc>
        <w:tc>
          <w:tcPr>
            <w:tcW w:type="dxa" w:w="423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Examples</w:t>
            </w:r>
          </w:p>
        </w:tc>
        <w:tc>
          <w:tcPr>
            <w:tcW w:type="dxa" w:w="383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Typical path</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New attribute / column</w:t>
            </w:r>
          </w:p>
        </w:tc>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Add customer tenure band; add region hierarchy level</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Owner assessment → source feasibility → schema version</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New KPI or measure</w:t>
            </w:r>
          </w:p>
        </w:tc>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Add net revenue retention to the product’s certified KPI set</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Definition review by steward → semantic layer change → agent coverage update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Grain or history change</w:t>
            </w:r>
          </w:p>
        </w:tc>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Move from weekly to daily; extend history from 13 to 36 months</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Cost and capacity assessment → contract amendment</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Freshness improvement</w:t>
            </w:r>
          </w:p>
        </w:tc>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Move from daily 06:00 to hourly</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Pipeline redesign → contract SLA amendment → consumer notification</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Quality rule addition</w:t>
            </w:r>
          </w:p>
        </w:tc>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Add validity rule on a code field that is silently drifting</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Rule authored as data → threshold agreed → monitored</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New endpoint / surface</w:t>
            </w:r>
          </w:p>
        </w:tc>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Expose an MCP tool for a currently SQL-only product</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Manifest change → generated rendering → scope definition</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capability</w:t>
            </w:r>
          </w:p>
        </w:tc>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Teach the agent to answer a KPI it currently refuses</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Coverage-gap validation → tool binding → evaluation set extension</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Documentation / usability</w:t>
            </w:r>
          </w:p>
        </w:tc>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Business names missing on 40 columns; unclear limitation statement</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Steward assignment → fast track</w:t>
            </w:r>
          </w:p>
        </w:tc>
      </w:tr>
    </w:tbl>
    <w:p>
      <w:pPr>
        <w:pStyle w:val="Heading2"/>
        <w:spacing w:after="120" w:before="280"/>
      </w:pPr>
      <w:r>
        <w:rPr>
          <w:rFonts w:ascii="Calibri" w:cs="Calibri" w:eastAsia="Calibri" w:hAnsi="Calibri"/>
          <w:b/>
          <w:bCs/>
          <w:color w:val="117A8B"/>
          <w:sz w:val="25"/>
          <w:szCs w:val="25"/>
        </w:rPr>
        <w:t xml:space="preserve">14.2 Lifecycle</w:t>
      </w:r>
    </w:p>
    <w:p>
      <w:pPr>
        <w:spacing w:after="120" w:line="276"/>
        <w:jc w:val="left"/>
      </w:pPr>
      <w:r>
        <w:rPr>
          <w:rFonts w:ascii="Calibri" w:cs="Calibri" w:eastAsia="Calibri" w:hAnsi="Calibri"/>
          <w:b w:val="false"/>
          <w:bCs w:val="false"/>
          <w:i w:val="false"/>
          <w:iCs w:val="false"/>
          <w:color w:val="1F2A33"/>
          <w:sz w:val="21"/>
          <w:szCs w:val="21"/>
        </w:rPr>
        <w:t xml:space="preserve">Submitted → Triaged → Assessed → Accepted / Declined / Merged → Scheduled → In progress → Delivered → Verified. Every transition is timestamped and visible to the requester and to anyone watching the asset.</w:t>
      </w:r>
    </w:p>
    <w:p>
      <w:pPr>
        <w:pStyle w:val="ListParagraph"/>
        <w:numPr>
          <w:ilvl w:val="0"/>
          <w:numId w:val="2"/>
        </w:numPr>
        <w:spacing w:after="70" w:line="268"/>
      </w:pPr>
      <w:r>
        <w:rPr>
          <w:rFonts w:ascii="Calibri" w:cs="Calibri" w:eastAsia="Calibri" w:hAnsi="Calibri"/>
          <w:b/>
          <w:bCs/>
          <w:color w:val="0B2C4D"/>
          <w:sz w:val="21"/>
          <w:szCs w:val="21"/>
        </w:rPr>
        <w:t xml:space="preserve">Triage SLA: 5 business days.</w:t>
      </w:r>
      <w:r>
        <w:rPr>
          <w:rFonts w:ascii="Calibri" w:cs="Calibri" w:eastAsia="Calibri" w:hAnsi="Calibri"/>
          <w:color w:val="1F2A33"/>
          <w:sz w:val="21"/>
          <w:szCs w:val="21"/>
        </w:rPr>
        <w:t xml:space="preserve"> The owner must acknowledge with a disposition; silence escalates to the domain steward.</w:t>
      </w:r>
    </w:p>
    <w:p>
      <w:pPr>
        <w:pStyle w:val="ListParagraph"/>
        <w:numPr>
          <w:ilvl w:val="0"/>
          <w:numId w:val="2"/>
        </w:numPr>
        <w:spacing w:after="70" w:line="268"/>
      </w:pPr>
      <w:r>
        <w:rPr>
          <w:rFonts w:ascii="Calibri" w:cs="Calibri" w:eastAsia="Calibri" w:hAnsi="Calibri"/>
          <w:b/>
          <w:bCs/>
          <w:color w:val="0B2C4D"/>
          <w:sz w:val="21"/>
          <w:szCs w:val="21"/>
        </w:rPr>
        <w:t xml:space="preserve">Assessment</w:t>
      </w:r>
      <w:r>
        <w:rPr>
          <w:rFonts w:ascii="Calibri" w:cs="Calibri" w:eastAsia="Calibri" w:hAnsi="Calibri"/>
          <w:color w:val="1F2A33"/>
          <w:sz w:val="21"/>
          <w:szCs w:val="21"/>
        </w:rPr>
        <w:t xml:space="preserve"> records effort estimate, impact estimate, affected consumers, and whether the change is additive or breaking.</w:t>
      </w:r>
    </w:p>
    <w:p>
      <w:pPr>
        <w:pStyle w:val="ListParagraph"/>
        <w:numPr>
          <w:ilvl w:val="0"/>
          <w:numId w:val="2"/>
        </w:numPr>
        <w:spacing w:after="70" w:line="268"/>
      </w:pPr>
      <w:r>
        <w:rPr>
          <w:rFonts w:ascii="Calibri" w:cs="Calibri" w:eastAsia="Calibri" w:hAnsi="Calibri"/>
          <w:b/>
          <w:bCs/>
          <w:color w:val="0B2C4D"/>
          <w:sz w:val="21"/>
          <w:szCs w:val="21"/>
        </w:rPr>
        <w:t xml:space="preserve">Decline requires a reason</w:t>
      </w:r>
      <w:r>
        <w:rPr>
          <w:rFonts w:ascii="Calibri" w:cs="Calibri" w:eastAsia="Calibri" w:hAnsi="Calibri"/>
          <w:color w:val="1F2A33"/>
          <w:sz w:val="21"/>
          <w:szCs w:val="21"/>
        </w:rPr>
        <w:t xml:space="preserve"> drawn from a controlled list (out of scope, source unavailable, cost prohibitive, duplicate, superseded, security constraint) plus free text. Declines are public.</w:t>
      </w:r>
    </w:p>
    <w:p>
      <w:pPr>
        <w:pStyle w:val="ListParagraph"/>
        <w:numPr>
          <w:ilvl w:val="0"/>
          <w:numId w:val="2"/>
        </w:numPr>
        <w:spacing w:after="70" w:line="268"/>
      </w:pPr>
      <w:r>
        <w:rPr>
          <w:rFonts w:ascii="Calibri" w:cs="Calibri" w:eastAsia="Calibri" w:hAnsi="Calibri"/>
          <w:b/>
          <w:bCs/>
          <w:color w:val="0B2C4D"/>
          <w:sz w:val="21"/>
          <w:szCs w:val="21"/>
        </w:rPr>
        <w:t xml:space="preserve">Merge</w:t>
      </w:r>
      <w:r>
        <w:rPr>
          <w:rFonts w:ascii="Calibri" w:cs="Calibri" w:eastAsia="Calibri" w:hAnsi="Calibri"/>
          <w:color w:val="1F2A33"/>
          <w:sz w:val="21"/>
          <w:szCs w:val="21"/>
        </w:rPr>
        <w:t xml:space="preserve"> links duplicate requests into one canonical item and carries all requesters’ votes and context forward.</w:t>
      </w:r>
    </w:p>
    <w:p>
      <w:pPr>
        <w:pStyle w:val="ListParagraph"/>
        <w:numPr>
          <w:ilvl w:val="0"/>
          <w:numId w:val="2"/>
        </w:numPr>
        <w:spacing w:after="70" w:line="268"/>
      </w:pPr>
      <w:r>
        <w:rPr>
          <w:rFonts w:ascii="Calibri" w:cs="Calibri" w:eastAsia="Calibri" w:hAnsi="Calibri"/>
          <w:b/>
          <w:bCs/>
          <w:color w:val="0B2C4D"/>
          <w:sz w:val="21"/>
          <w:szCs w:val="21"/>
        </w:rPr>
        <w:t xml:space="preserve">Delivery</w:t>
      </w:r>
      <w:r>
        <w:rPr>
          <w:rFonts w:ascii="Calibri" w:cs="Calibri" w:eastAsia="Calibri" w:hAnsi="Calibri"/>
          <w:color w:val="1F2A33"/>
          <w:sz w:val="21"/>
          <w:szCs w:val="21"/>
        </w:rPr>
        <w:t xml:space="preserve"> links the enhancement to the contract version that shipped it and notifies every subscriber and requester.</w:t>
      </w:r>
    </w:p>
    <w:p>
      <w:pPr>
        <w:pStyle w:val="ListParagraph"/>
        <w:numPr>
          <w:ilvl w:val="0"/>
          <w:numId w:val="2"/>
        </w:numPr>
        <w:spacing w:after="70" w:line="268"/>
      </w:pPr>
      <w:r>
        <w:rPr>
          <w:rFonts w:ascii="Calibri" w:cs="Calibri" w:eastAsia="Calibri" w:hAnsi="Calibri"/>
          <w:b/>
          <w:bCs/>
          <w:color w:val="0B2C4D"/>
          <w:sz w:val="21"/>
          <w:szCs w:val="21"/>
        </w:rPr>
        <w:t xml:space="preserve">Verification</w:t>
      </w:r>
      <w:r>
        <w:rPr>
          <w:rFonts w:ascii="Calibri" w:cs="Calibri" w:eastAsia="Calibri" w:hAnsi="Calibri"/>
          <w:color w:val="1F2A33"/>
          <w:sz w:val="21"/>
          <w:szCs w:val="21"/>
        </w:rPr>
        <w:t xml:space="preserve"> asks the original requester to confirm the enhancement met the need; unverified items after 14 days are auto-closed as delivered with a note.</w:t>
      </w:r>
    </w:p>
    <w:p>
      <w:pPr>
        <w:pStyle w:val="Heading2"/>
        <w:spacing w:after="120" w:before="280"/>
      </w:pPr>
      <w:r>
        <w:rPr>
          <w:rFonts w:ascii="Calibri" w:cs="Calibri" w:eastAsia="Calibri" w:hAnsi="Calibri"/>
          <w:b/>
          <w:bCs/>
          <w:color w:val="117A8B"/>
          <w:sz w:val="25"/>
          <w:szCs w:val="25"/>
        </w:rPr>
        <w:t xml:space="preserve">14.3 Public Backlog</w:t>
      </w:r>
    </w:p>
    <w:p>
      <w:pPr>
        <w:spacing w:after="120" w:line="276"/>
        <w:jc w:val="left"/>
      </w:pPr>
      <w:r>
        <w:rPr>
          <w:rFonts w:ascii="Calibri" w:cs="Calibri" w:eastAsia="Calibri" w:hAnsi="Calibri"/>
          <w:b w:val="false"/>
          <w:bCs w:val="false"/>
          <w:i w:val="false"/>
          <w:iCs w:val="false"/>
          <w:color w:val="1F2A33"/>
          <w:sz w:val="21"/>
          <w:szCs w:val="21"/>
        </w:rPr>
        <w:t xml:space="preserve">Each product and agent detail page carries a backlog panel showing open enhancements with vote counts, status and target release. Consumers can upvote and subscribe. Visible demand is what allows an owner to defend investment — and what stops the same request arriving five times from five teams.</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15. Demand Intake — New Data Product &amp; Agent Requests</w:t>
      </w:r>
    </w:p>
    <w:p>
      <w:pPr>
        <w:spacing w:after="120" w:line="276"/>
        <w:jc w:val="left"/>
      </w:pPr>
      <w:r>
        <w:rPr>
          <w:rFonts w:ascii="Calibri" w:cs="Calibri" w:eastAsia="Calibri" w:hAnsi="Calibri"/>
          <w:b w:val="false"/>
          <w:bCs w:val="false"/>
          <w:i w:val="false"/>
          <w:iCs w:val="false"/>
          <w:color w:val="1F2A33"/>
          <w:sz w:val="21"/>
          <w:szCs w:val="21"/>
        </w:rPr>
        <w:t xml:space="preserve">When the catalog does not serve the need, the need must not vanish. Demand intake captures it as a first-class object with the same lifecycle rigour as published supply.</w:t>
      </w:r>
    </w:p>
    <w:p>
      <w:pPr>
        <w:pStyle w:val="Heading2"/>
        <w:spacing w:after="120" w:before="280"/>
      </w:pPr>
      <w:r>
        <w:rPr>
          <w:rFonts w:ascii="Calibri" w:cs="Calibri" w:eastAsia="Calibri" w:hAnsi="Calibri"/>
          <w:b/>
          <w:bCs/>
          <w:color w:val="117A8B"/>
          <w:sz w:val="25"/>
          <w:szCs w:val="25"/>
        </w:rPr>
        <w:t xml:space="preserve">15.1 Intake Form</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814"/>
        <w:gridCol w:w="8266"/>
      </w:tblGrid>
      <w:tr>
        <w:trPr>
          <w:tblHeader/>
        </w:trPr>
        <w:tc>
          <w:tcPr>
            <w:tcW w:type="dxa" w:w="18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Section</w:t>
            </w:r>
          </w:p>
        </w:tc>
        <w:tc>
          <w:tcPr>
            <w:tcW w:type="dxa" w:w="826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Fields</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What</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Request type (data product / agent / both) · working title · the business question that cannot be answered today</w:t>
            </w:r>
          </w:p>
        </w:tc>
      </w:tr>
      <w:tr>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Why</w:t>
            </w:r>
          </w:p>
        </w:tc>
        <w:tc>
          <w:tcPr>
            <w:tcW w:type="dxa" w:w="826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Business outcome · decision it enables · quantified value if known · consequence of not building it</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Who</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Requesting team · expected consumer population · executive sponsor · other teams likely to benefit</w:t>
            </w:r>
          </w:p>
        </w:tc>
      </w:tr>
      <w:tr>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w:t>
            </w:r>
          </w:p>
        </w:tc>
        <w:tc>
          <w:tcPr>
            <w:tcW w:type="dxa" w:w="826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Known source systems · required entities and attributes · required grain · required history · required freshness</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(if applicable)</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Questions it must answer · KPIs involved · required autonomy level · target personas</w:t>
            </w:r>
          </w:p>
        </w:tc>
      </w:tr>
      <w:tr>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Constraints</w:t>
            </w:r>
          </w:p>
        </w:tc>
        <w:tc>
          <w:tcPr>
            <w:tcW w:type="dxa" w:w="826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Regulatory considerations · residency · deadline and its driver · budget or cost centre</w:t>
            </w:r>
          </w:p>
        </w:tc>
      </w:tr>
      <w:tr>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Evidence</w:t>
            </w:r>
          </w:p>
        </w:tc>
        <w:tc>
          <w:tcPr>
            <w:tcW w:type="dxa" w:w="826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Existing workarounds — spreadsheets, extracts, shadow pipelines — that this would replace</w:t>
            </w:r>
          </w:p>
        </w:tc>
      </w:tr>
    </w:tbl>
    <w:p>
      <w:pPr>
        <w:pStyle w:val="Heading2"/>
        <w:spacing w:after="120" w:before="280"/>
      </w:pPr>
      <w:r>
        <w:rPr>
          <w:rFonts w:ascii="Calibri" w:cs="Calibri" w:eastAsia="Calibri" w:hAnsi="Calibri"/>
          <w:b/>
          <w:bCs/>
          <w:color w:val="117A8B"/>
          <w:sz w:val="25"/>
          <w:szCs w:val="25"/>
        </w:rPr>
        <w:t xml:space="preserve">15.2 Duplicate-Supply Detection</w:t>
      </w:r>
    </w:p>
    <w:p>
      <w:pPr>
        <w:spacing w:after="120" w:line="276"/>
        <w:jc w:val="left"/>
      </w:pPr>
      <w:r>
        <w:rPr>
          <w:rFonts w:ascii="Calibri" w:cs="Calibri" w:eastAsia="Calibri" w:hAnsi="Calibri"/>
          <w:b w:val="false"/>
          <w:bCs w:val="false"/>
          <w:i w:val="false"/>
          <w:iCs w:val="false"/>
          <w:color w:val="1F2A33"/>
          <w:sz w:val="21"/>
          <w:szCs w:val="21"/>
        </w:rPr>
        <w:t xml:space="preserve">At submission the intake engine runs a semantic match of the request against the published catalog, the demand board, and in-flight roadmap items. This is the highest-leverage control in the entire product: it converts a build request into a reuse decision.</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similarity = 0.40 · embedding_match(request_text, product.purpose + kpi_definitions)</w:t>
            </w:r>
          </w:p>
          <w:p>
            <w:pPr>
              <w:spacing w:after="0" w:line="240"/>
            </w:pPr>
            <w:r>
              <w:rPr>
                <w:rFonts w:ascii="Consolas" w:cs="Consolas" w:eastAsia="Consolas" w:hAnsi="Consolas"/>
                <w:color w:val="16323F"/>
                <w:sz w:val="16"/>
                <w:szCs w:val="16"/>
              </w:rPr>
              <w:t xml:space="preserve">           + 0.25 · entity_overlap(request.entities, product.entities)</w:t>
            </w:r>
          </w:p>
          <w:p>
            <w:pPr>
              <w:spacing w:after="0" w:line="240"/>
            </w:pPr>
            <w:r>
              <w:rPr>
                <w:rFonts w:ascii="Consolas" w:cs="Consolas" w:eastAsia="Consolas" w:hAnsi="Consolas"/>
                <w:color w:val="16323F"/>
                <w:sz w:val="16"/>
                <w:szCs w:val="16"/>
              </w:rPr>
              <w:t xml:space="preserve">           + 0.20 · source_overlap(request.sources, product.upstream_sources)</w:t>
            </w:r>
          </w:p>
          <w:p>
            <w:pPr>
              <w:spacing w:after="0" w:line="240"/>
            </w:pPr>
            <w:r>
              <w:rPr>
                <w:rFonts w:ascii="Consolas" w:cs="Consolas" w:eastAsia="Consolas" w:hAnsi="Consolas"/>
                <w:color w:val="16323F"/>
                <w:sz w:val="16"/>
                <w:szCs w:val="16"/>
              </w:rPr>
              <w:t xml:space="preserve">           + 0.15 · kpi_overlap(request.kpis, product.certified_kpis)</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similarity &gt;= 0.75  -&gt; "This may already exist"  : blocking review with the owner before</w:t>
            </w:r>
          </w:p>
          <w:p>
            <w:pPr>
              <w:spacing w:after="0" w:line="240"/>
            </w:pPr>
            <w:r>
              <w:rPr>
                <w:rFonts w:ascii="Consolas" w:cs="Consolas" w:eastAsia="Consolas" w:hAnsi="Consolas"/>
                <w:color w:val="16323F"/>
                <w:sz w:val="16"/>
                <w:szCs w:val="16"/>
              </w:rPr>
              <w:t xml:space="preserve">                        the request can progress; requester shown the candidate side by side</w:t>
            </w:r>
          </w:p>
          <w:p>
            <w:pPr>
              <w:spacing w:after="0" w:line="240"/>
            </w:pPr>
            <w:r>
              <w:rPr>
                <w:rFonts w:ascii="Consolas" w:cs="Consolas" w:eastAsia="Consolas" w:hAnsi="Consolas"/>
                <w:color w:val="16323F"/>
                <w:sz w:val="16"/>
                <w:szCs w:val="16"/>
              </w:rPr>
              <w:t xml:space="preserve">0.50 - 0.74         -&gt; "Related supply exists"   : advisory panel, requester may proceed</w:t>
            </w:r>
          </w:p>
          <w:p>
            <w:pPr>
              <w:spacing w:after="0" w:line="240"/>
            </w:pPr>
            <w:r>
              <w:rPr>
                <w:rFonts w:ascii="Consolas" w:cs="Consolas" w:eastAsia="Consolas" w:hAnsi="Consolas"/>
                <w:color w:val="16323F"/>
                <w:sz w:val="16"/>
                <w:szCs w:val="16"/>
              </w:rPr>
              <w:t xml:space="preserve">&lt; 0.50              -&gt; proceed to scoring</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Every match stores { candidate_id, similarity, contributing_factors, confidence, rationale }.</w:t>
            </w:r>
          </w:p>
          <w:p>
            <w:pPr>
              <w:spacing w:after="0" w:line="240"/>
            </w:pPr>
            <w:r>
              <w:rPr>
                <w:rFonts w:ascii="Consolas" w:cs="Consolas" w:eastAsia="Consolas" w:hAnsi="Consolas"/>
                <w:color w:val="16323F"/>
                <w:sz w:val="16"/>
                <w:szCs w:val="16"/>
              </w:rPr>
              <w:t xml:space="preserve">Matches below 0.80 confidence are reviewed by an architect before being shown as blocking.</w:t>
            </w:r>
          </w:p>
        </w:tc>
      </w:tr>
    </w:tbl>
    <w:p>
      <w:pPr>
        <w:pStyle w:val="Heading2"/>
        <w:spacing w:after="120" w:before="280"/>
      </w:pPr>
      <w:r>
        <w:rPr>
          <w:rFonts w:ascii="Calibri" w:cs="Calibri" w:eastAsia="Calibri" w:hAnsi="Calibri"/>
          <w:b/>
          <w:bCs/>
          <w:color w:val="117A8B"/>
          <w:sz w:val="25"/>
          <w:szCs w:val="25"/>
        </w:rPr>
        <w:t xml:space="preserve">15.3 Demand Scoring</w:t>
      </w:r>
    </w:p>
    <w:p>
      <w:pPr>
        <w:spacing w:after="120" w:line="276"/>
        <w:jc w:val="left"/>
      </w:pPr>
      <w:r>
        <w:rPr>
          <w:rFonts w:ascii="Calibri" w:cs="Calibri" w:eastAsia="Calibri" w:hAnsi="Calibri"/>
          <w:b w:val="false"/>
          <w:bCs w:val="false"/>
          <w:i w:val="false"/>
          <w:iCs w:val="false"/>
          <w:color w:val="1F2A33"/>
          <w:sz w:val="21"/>
          <w:szCs w:val="21"/>
        </w:rPr>
        <w:t xml:space="preserve">Requests are scored on a rubric stored as data. The score orders the demand board but never decides alone — the architect triage panel makes the call and records a reason.</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621"/>
        <w:gridCol w:w="1210"/>
        <w:gridCol w:w="6249"/>
      </w:tblGrid>
      <w:tr>
        <w:trPr>
          <w:tblHeader/>
        </w:trPr>
        <w:tc>
          <w:tcPr>
            <w:tcW w:type="dxa" w:w="262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Criterion</w:t>
            </w:r>
          </w:p>
        </w:tc>
        <w:tc>
          <w:tcPr>
            <w:tcW w:type="dxa" w:w="121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Weight</w:t>
            </w:r>
          </w:p>
        </w:tc>
        <w:tc>
          <w:tcPr>
            <w:tcW w:type="dxa" w:w="624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Scale</w:t>
            </w:r>
          </w:p>
        </w:tc>
      </w:tr>
      <w:tr>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Business value</w:t>
            </w:r>
          </w:p>
        </w:tc>
        <w:tc>
          <w:tcPr>
            <w:tcW w:type="dxa" w:w="12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30%</w:t>
            </w:r>
          </w:p>
        </w:tc>
        <w:tc>
          <w:tcPr>
            <w:tcW w:type="dxa" w:w="624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Quantified benefit, or a qualitative band with sponsor attestation</w:t>
            </w:r>
          </w:p>
        </w:tc>
      </w:tr>
      <w:tr>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Consumer breadth</w:t>
            </w:r>
          </w:p>
        </w:tc>
        <w:tc>
          <w:tcPr>
            <w:tcW w:type="dxa" w:w="12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20%</w:t>
            </w:r>
          </w:p>
        </w:tc>
        <w:tc>
          <w:tcPr>
            <w:tcW w:type="dxa" w:w="624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Distinct teams and estimated consumers; votes on the demand board</w:t>
            </w:r>
          </w:p>
        </w:tc>
      </w:tr>
      <w:tr>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Strategic alignment</w:t>
            </w:r>
          </w:p>
        </w:tc>
        <w:tc>
          <w:tcPr>
            <w:tcW w:type="dxa" w:w="12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15%</w:t>
            </w:r>
          </w:p>
        </w:tc>
        <w:tc>
          <w:tcPr>
            <w:tcW w:type="dxa" w:w="624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Mapping to declared enterprise priorities for the period</w:t>
            </w:r>
          </w:p>
        </w:tc>
      </w:tr>
      <w:tr>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Feasibility</w:t>
            </w:r>
          </w:p>
        </w:tc>
        <w:tc>
          <w:tcPr>
            <w:tcW w:type="dxa" w:w="12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15%</w:t>
            </w:r>
          </w:p>
        </w:tc>
        <w:tc>
          <w:tcPr>
            <w:tcW w:type="dxa" w:w="624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Source availability, quality of source, engineering effort</w:t>
            </w:r>
          </w:p>
        </w:tc>
      </w:tr>
      <w:tr>
        <w:tc>
          <w:tcPr>
            <w:tcW w:type="dxa" w:w="262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Reuse leverage</w:t>
            </w:r>
          </w:p>
        </w:tc>
        <w:tc>
          <w:tcPr>
            <w:tcW w:type="dxa" w:w="12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10%</w:t>
            </w:r>
          </w:p>
        </w:tc>
        <w:tc>
          <w:tcPr>
            <w:tcW w:type="dxa" w:w="624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Extent to which the new product would serve future requests or unblock agents</w:t>
            </w:r>
          </w:p>
        </w:tc>
      </w:tr>
      <w:tr>
        <w:tc>
          <w:tcPr>
            <w:tcW w:type="dxa" w:w="262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Risk / compliance urgency</w:t>
            </w:r>
          </w:p>
        </w:tc>
        <w:tc>
          <w:tcPr>
            <w:tcW w:type="dxa" w:w="12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10%</w:t>
            </w:r>
          </w:p>
        </w:tc>
        <w:tc>
          <w:tcPr>
            <w:tcW w:type="dxa" w:w="624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Regulatory driver or risk-reduction value</w:t>
            </w:r>
          </w:p>
        </w:tc>
      </w:tr>
    </w:tbl>
    <w:p>
      <w:pPr>
        <w:pStyle w:val="Heading2"/>
        <w:spacing w:after="120" w:before="280"/>
      </w:pPr>
      <w:r>
        <w:rPr>
          <w:rFonts w:ascii="Calibri" w:cs="Calibri" w:eastAsia="Calibri" w:hAnsi="Calibri"/>
          <w:b/>
          <w:bCs/>
          <w:color w:val="117A8B"/>
          <w:sz w:val="25"/>
          <w:szCs w:val="25"/>
        </w:rPr>
        <w:t xml:space="preserve">15.4 Demand Board</w:t>
      </w:r>
    </w:p>
    <w:p>
      <w:pPr>
        <w:pStyle w:val="ListParagraph"/>
        <w:numPr>
          <w:ilvl w:val="0"/>
          <w:numId w:val="2"/>
        </w:numPr>
        <w:spacing w:after="70" w:line="268"/>
      </w:pPr>
      <w:r>
        <w:rPr>
          <w:rFonts w:ascii="Calibri" w:cs="Calibri" w:eastAsia="Calibri" w:hAnsi="Calibri"/>
          <w:color w:val="1F2A33"/>
          <w:sz w:val="21"/>
          <w:szCs w:val="21"/>
        </w:rPr>
        <w:t xml:space="preserve">Public, filterable board of all open demand with status, score, vote count, requesting teams and target quarter.</w:t>
      </w:r>
    </w:p>
    <w:p>
      <w:pPr>
        <w:pStyle w:val="ListParagraph"/>
        <w:numPr>
          <w:ilvl w:val="0"/>
          <w:numId w:val="2"/>
        </w:numPr>
        <w:spacing w:after="70" w:line="268"/>
      </w:pPr>
      <w:r>
        <w:rPr>
          <w:rFonts w:ascii="Calibri" w:cs="Calibri" w:eastAsia="Calibri" w:hAnsi="Calibri"/>
          <w:color w:val="1F2A33"/>
          <w:sz w:val="21"/>
          <w:szCs w:val="21"/>
        </w:rPr>
        <w:t xml:space="preserve">Voting and "me too" with a required one-line use case — votes without context are not counted, because the use case is what makes clustering possible.</w:t>
      </w:r>
    </w:p>
    <w:p>
      <w:pPr>
        <w:pStyle w:val="ListParagraph"/>
        <w:numPr>
          <w:ilvl w:val="0"/>
          <w:numId w:val="2"/>
        </w:numPr>
        <w:spacing w:after="70" w:line="268"/>
      </w:pPr>
      <w:r>
        <w:rPr>
          <w:rFonts w:ascii="Calibri" w:cs="Calibri" w:eastAsia="Calibri" w:hAnsi="Calibri"/>
          <w:color w:val="1F2A33"/>
          <w:sz w:val="21"/>
          <w:szCs w:val="21"/>
        </w:rPr>
        <w:t xml:space="preserve">Automatic clustering of semantically similar requests into a demand theme; a theme with five or more distinct requesting teams is auto-escalated to the portfolio review.</w:t>
      </w:r>
    </w:p>
    <w:p>
      <w:pPr>
        <w:pStyle w:val="ListParagraph"/>
        <w:numPr>
          <w:ilvl w:val="0"/>
          <w:numId w:val="2"/>
        </w:numPr>
        <w:spacing w:after="70" w:line="268"/>
      </w:pPr>
      <w:r>
        <w:rPr>
          <w:rFonts w:ascii="Calibri" w:cs="Calibri" w:eastAsia="Calibri" w:hAnsi="Calibri"/>
          <w:color w:val="1F2A33"/>
          <w:sz w:val="21"/>
          <w:szCs w:val="21"/>
        </w:rPr>
        <w:t xml:space="preserve">Status lifecycle: Submitted → Duplicate review → Triaged → Scored → Roadmapped → In build → Delivered, or Declined with a public reason.</w:t>
      </w:r>
    </w:p>
    <w:p>
      <w:pPr>
        <w:pStyle w:val="ListParagraph"/>
        <w:numPr>
          <w:ilvl w:val="0"/>
          <w:numId w:val="2"/>
        </w:numPr>
        <w:spacing w:after="70" w:line="268"/>
      </w:pPr>
      <w:r>
        <w:rPr>
          <w:rFonts w:ascii="Calibri" w:cs="Calibri" w:eastAsia="Calibri" w:hAnsi="Calibri"/>
          <w:color w:val="1F2A33"/>
          <w:sz w:val="21"/>
          <w:szCs w:val="21"/>
        </w:rPr>
        <w:t xml:space="preserve">On delivery, the demand item links to the published listing and every requester and voter is notified — closing the loop is what sustains submission volume.</w:t>
      </w:r>
    </w:p>
    <w:p>
      <w:pPr>
        <w:pStyle w:val="Heading2"/>
        <w:spacing w:after="120" w:before="280"/>
      </w:pPr>
      <w:r>
        <w:rPr>
          <w:rFonts w:ascii="Calibri" w:cs="Calibri" w:eastAsia="Calibri" w:hAnsi="Calibri"/>
          <w:b/>
          <w:bCs/>
          <w:color w:val="117A8B"/>
          <w:sz w:val="25"/>
          <w:szCs w:val="25"/>
        </w:rPr>
        <w:t xml:space="preserve">15.5 Intake to Blueprint</w:t>
      </w:r>
    </w:p>
    <w:p>
      <w:pPr>
        <w:spacing w:after="120" w:line="276"/>
        <w:jc w:val="left"/>
      </w:pPr>
      <w:r>
        <w:rPr>
          <w:rFonts w:ascii="Calibri" w:cs="Calibri" w:eastAsia="Calibri" w:hAnsi="Calibri"/>
          <w:b w:val="false"/>
          <w:bCs w:val="false"/>
          <w:i w:val="false"/>
          <w:iCs w:val="false"/>
          <w:color w:val="1F2A33"/>
          <w:sz w:val="21"/>
          <w:szCs w:val="21"/>
        </w:rPr>
        <w:t xml:space="preserve">An accepted demand item generates a draft product or agent manifest pre-filled from the request: proposed name, domain, archetype, entity list, candidate sources drawn from lineage, draft contract skeleton, and — for agents — a draft KPI coverage map and five candidate demo questions derived from the questions in the request. The draft carries confidence and rationale on every inferred field and requires human completion and approval before it can be built. The specification is never auto-approved.</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16. Data Product Mesh</w:t>
      </w:r>
    </w:p>
    <w:p>
      <w:pPr>
        <w:spacing w:after="120" w:line="276"/>
        <w:jc w:val="left"/>
      </w:pPr>
      <w:r>
        <w:rPr>
          <w:rFonts w:ascii="Calibri" w:cs="Calibri" w:eastAsia="Calibri" w:hAnsi="Calibri"/>
          <w:b w:val="false"/>
          <w:bCs w:val="false"/>
          <w:i w:val="false"/>
          <w:iCs w:val="false"/>
          <w:color w:val="1F2A33"/>
          <w:sz w:val="21"/>
          <w:szCs w:val="21"/>
        </w:rPr>
        <w:t xml:space="preserve">The mesh makes the shape of the estate visible: which products are related, which share upstream sources, where duplication is forming, and what breaks when a source fails. Edges are computed from lineage and metadata; none are drawn by hand.</w:t>
      </w:r>
    </w:p>
    <w:p>
      <w:pPr>
        <w:pStyle w:val="Heading2"/>
        <w:spacing w:after="120" w:before="280"/>
      </w:pPr>
      <w:r>
        <w:rPr>
          <w:rFonts w:ascii="Calibri" w:cs="Calibri" w:eastAsia="Calibri" w:hAnsi="Calibri"/>
          <w:b/>
          <w:bCs/>
          <w:color w:val="117A8B"/>
          <w:sz w:val="25"/>
          <w:szCs w:val="25"/>
        </w:rPr>
        <w:t xml:space="preserve">16.1 Edge Types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915"/>
        <w:gridCol w:w="3629"/>
        <w:gridCol w:w="4536"/>
      </w:tblGrid>
      <w:tr>
        <w:trPr>
          <w:tblHeader/>
        </w:trPr>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Edge</w:t>
            </w:r>
          </w:p>
        </w:tc>
        <w:tc>
          <w:tcPr>
            <w:tcW w:type="dxa" w:w="362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Derivation</w:t>
            </w:r>
          </w:p>
        </w:tc>
        <w:tc>
          <w:tcPr>
            <w:tcW w:type="dxa" w:w="453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Meaning to the consumer</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Shared source</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Jaccard overlap of upstream source tables from platform lineage</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These products describe the same underlying reality and should agree</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Direct dependency</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One product materially consumes another</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hard dependency — upstream incidents propagate</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Shared entity</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Both products key on the same business entity and identifier</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Joinable at a known key; candidate for a combined analysis</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Shared KPI</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Both expose the same certified KPI definition</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Consistency requirement — divergent values are an incident</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Semantic similarity</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Embedding similarity of purpose, columns and glossary terms</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Possible duplication; carries confidence and rationale</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Co-consumption</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same consumers query both within a session window</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Behavioural affinity — drives "used together" recommendations</w:t>
            </w:r>
          </w:p>
        </w:tc>
      </w:tr>
    </w:tbl>
    <w:p>
      <w:pPr>
        <w:pStyle w:val="Heading2"/>
        <w:spacing w:after="120" w:before="280"/>
      </w:pPr>
      <w:r>
        <w:rPr>
          <w:rFonts w:ascii="Calibri" w:cs="Calibri" w:eastAsia="Calibri" w:hAnsi="Calibri"/>
          <w:b/>
          <w:bCs/>
          <w:color w:val="117A8B"/>
          <w:sz w:val="25"/>
          <w:szCs w:val="25"/>
        </w:rPr>
        <w:t xml:space="preserve">16.2 Edge Weighting</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edge_strength = 0.30 · source_overlap_jaccard</w:t>
            </w:r>
          </w:p>
          <w:p>
            <w:pPr>
              <w:spacing w:after="0" w:line="240"/>
            </w:pPr>
            <w:r>
              <w:rPr>
                <w:rFonts w:ascii="Consolas" w:cs="Consolas" w:eastAsia="Consolas" w:hAnsi="Consolas"/>
                <w:color w:val="16323F"/>
                <w:sz w:val="16"/>
                <w:szCs w:val="16"/>
              </w:rPr>
              <w:t xml:space="preserve">              + 0.25 · entity_overlap</w:t>
            </w:r>
          </w:p>
          <w:p>
            <w:pPr>
              <w:spacing w:after="0" w:line="240"/>
            </w:pPr>
            <w:r>
              <w:rPr>
                <w:rFonts w:ascii="Consolas" w:cs="Consolas" w:eastAsia="Consolas" w:hAnsi="Consolas"/>
                <w:color w:val="16323F"/>
                <w:sz w:val="16"/>
                <w:szCs w:val="16"/>
              </w:rPr>
              <w:t xml:space="preserve">              + 0.20 · kpi_overlap</w:t>
            </w:r>
          </w:p>
          <w:p>
            <w:pPr>
              <w:spacing w:after="0" w:line="240"/>
            </w:pPr>
            <w:r>
              <w:rPr>
                <w:rFonts w:ascii="Consolas" w:cs="Consolas" w:eastAsia="Consolas" w:hAnsi="Consolas"/>
                <w:color w:val="16323F"/>
                <w:sz w:val="16"/>
                <w:szCs w:val="16"/>
              </w:rPr>
              <w:t xml:space="preserve">              + 0.15 · semantic_similarity</w:t>
            </w:r>
          </w:p>
          <w:p>
            <w:pPr>
              <w:spacing w:after="0" w:line="240"/>
            </w:pPr>
            <w:r>
              <w:rPr>
                <w:rFonts w:ascii="Consolas" w:cs="Consolas" w:eastAsia="Consolas" w:hAnsi="Consolas"/>
                <w:color w:val="16323F"/>
                <w:sz w:val="16"/>
                <w:szCs w:val="16"/>
              </w:rPr>
              <w:t xml:space="preserve">              + 0.10 · co_consumption_lift</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render_threshold: 0.25          # weights and threshold are rubric data, tunable per tenant</w:t>
            </w:r>
          </w:p>
          <w:p>
            <w:pPr>
              <w:spacing w:after="0" w:line="240"/>
            </w:pPr>
            <w:r>
              <w:rPr>
                <w:rFonts w:ascii="Consolas" w:cs="Consolas" w:eastAsia="Consolas" w:hAnsi="Consolas"/>
                <w:color w:val="16323F"/>
                <w:sz w:val="16"/>
                <w:szCs w:val="16"/>
              </w:rPr>
              <w:t xml:space="preserve">duplication_alert: &gt;= 0.80 on (source_overlap AND semantic_similarity)</w:t>
            </w:r>
          </w:p>
          <w:p>
            <w:pPr>
              <w:spacing w:after="0" w:line="240"/>
            </w:pPr>
            <w:r>
              <w:rPr>
                <w:rFonts w:ascii="Consolas" w:cs="Consolas" w:eastAsia="Consolas" w:hAnsi="Consolas"/>
                <w:color w:val="16323F"/>
                <w:sz w:val="16"/>
                <w:szCs w:val="16"/>
              </w:rPr>
              <w:t xml:space="preserve">every edge stores: { type, strength, contributing_factors, confidence, rationale, computed_at }</w:t>
            </w:r>
          </w:p>
        </w:tc>
      </w:tr>
    </w:tbl>
    <w:p>
      <w:pPr>
        <w:pStyle w:val="Heading2"/>
        <w:spacing w:after="120" w:before="280"/>
      </w:pPr>
      <w:r>
        <w:rPr>
          <w:rFonts w:ascii="Calibri" w:cs="Calibri" w:eastAsia="Calibri" w:hAnsi="Calibri"/>
          <w:b/>
          <w:bCs/>
          <w:color w:val="117A8B"/>
          <w:sz w:val="25"/>
          <w:szCs w:val="25"/>
        </w:rPr>
        <w:t xml:space="preserve">16.3 Explorer Interactions</w:t>
      </w:r>
    </w:p>
    <w:p>
      <w:pPr>
        <w:pStyle w:val="ListParagraph"/>
        <w:numPr>
          <w:ilvl w:val="0"/>
          <w:numId w:val="2"/>
        </w:numPr>
        <w:spacing w:after="70" w:line="268"/>
      </w:pPr>
      <w:r>
        <w:rPr>
          <w:rFonts w:ascii="Calibri" w:cs="Calibri" w:eastAsia="Calibri" w:hAnsi="Calibri"/>
          <w:b/>
          <w:bCs/>
          <w:color w:val="0B2C4D"/>
          <w:sz w:val="21"/>
          <w:szCs w:val="21"/>
        </w:rPr>
        <w:t xml:space="preserve">Layouts:</w:t>
      </w:r>
      <w:r>
        <w:rPr>
          <w:rFonts w:ascii="Calibri" w:cs="Calibri" w:eastAsia="Calibri" w:hAnsi="Calibri"/>
          <w:color w:val="1F2A33"/>
          <w:sz w:val="21"/>
          <w:szCs w:val="21"/>
        </w:rPr>
        <w:t xml:space="preserve"> force-directed by default; also domain-clustered, industry-clustered, and source-anchored (sources as hub nodes).</w:t>
      </w:r>
    </w:p>
    <w:p>
      <w:pPr>
        <w:pStyle w:val="ListParagraph"/>
        <w:numPr>
          <w:ilvl w:val="0"/>
          <w:numId w:val="2"/>
        </w:numPr>
        <w:spacing w:after="70" w:line="268"/>
      </w:pPr>
      <w:r>
        <w:rPr>
          <w:rFonts w:ascii="Calibri" w:cs="Calibri" w:eastAsia="Calibri" w:hAnsi="Calibri"/>
          <w:b/>
          <w:bCs/>
          <w:color w:val="0B2C4D"/>
          <w:sz w:val="21"/>
          <w:szCs w:val="21"/>
        </w:rPr>
        <w:t xml:space="preserve">Node encoding:</w:t>
      </w:r>
      <w:r>
        <w:rPr>
          <w:rFonts w:ascii="Calibri" w:cs="Calibri" w:eastAsia="Calibri" w:hAnsi="Calibri"/>
          <w:color w:val="1F2A33"/>
          <w:sz w:val="21"/>
          <w:szCs w:val="21"/>
        </w:rPr>
        <w:t xml:space="preserve"> size = active consumers; colour = quality band; ring = certification; pulse = open incident.</w:t>
      </w:r>
    </w:p>
    <w:p>
      <w:pPr>
        <w:pStyle w:val="ListParagraph"/>
        <w:numPr>
          <w:ilvl w:val="0"/>
          <w:numId w:val="2"/>
        </w:numPr>
        <w:spacing w:after="70" w:line="268"/>
      </w:pPr>
      <w:r>
        <w:rPr>
          <w:rFonts w:ascii="Calibri" w:cs="Calibri" w:eastAsia="Calibri" w:hAnsi="Calibri"/>
          <w:b/>
          <w:bCs/>
          <w:color w:val="0B2C4D"/>
          <w:sz w:val="21"/>
          <w:szCs w:val="21"/>
        </w:rPr>
        <w:t xml:space="preserve">Hover</w:t>
      </w:r>
      <w:r>
        <w:rPr>
          <w:rFonts w:ascii="Calibri" w:cs="Calibri" w:eastAsia="Calibri" w:hAnsi="Calibri"/>
          <w:color w:val="1F2A33"/>
          <w:sz w:val="21"/>
          <w:szCs w:val="21"/>
        </w:rPr>
        <w:t xml:space="preserve"> reveals the neighbourhood with edge types and the named shared sources.</w:t>
      </w:r>
    </w:p>
    <w:p>
      <w:pPr>
        <w:pStyle w:val="ListParagraph"/>
        <w:numPr>
          <w:ilvl w:val="0"/>
          <w:numId w:val="2"/>
        </w:numPr>
        <w:spacing w:after="70" w:line="268"/>
      </w:pPr>
      <w:r>
        <w:rPr>
          <w:rFonts w:ascii="Calibri" w:cs="Calibri" w:eastAsia="Calibri" w:hAnsi="Calibri"/>
          <w:b/>
          <w:bCs/>
          <w:color w:val="0B2C4D"/>
          <w:sz w:val="21"/>
          <w:szCs w:val="21"/>
        </w:rPr>
        <w:t xml:space="preserve">Blast-radius mode:</w:t>
      </w:r>
      <w:r>
        <w:rPr>
          <w:rFonts w:ascii="Calibri" w:cs="Calibri" w:eastAsia="Calibri" w:hAnsi="Calibri"/>
          <w:color w:val="1F2A33"/>
          <w:sz w:val="21"/>
          <w:szCs w:val="21"/>
        </w:rPr>
        <w:t xml:space="preserve"> select a source system and highlight every product and agent downstream, with consumer counts — the fastest incident-severity assessment in the product.</w:t>
      </w:r>
    </w:p>
    <w:p>
      <w:pPr>
        <w:pStyle w:val="ListParagraph"/>
        <w:numPr>
          <w:ilvl w:val="0"/>
          <w:numId w:val="2"/>
        </w:numPr>
        <w:spacing w:after="70" w:line="268"/>
      </w:pPr>
      <w:r>
        <w:rPr>
          <w:rFonts w:ascii="Calibri" w:cs="Calibri" w:eastAsia="Calibri" w:hAnsi="Calibri"/>
          <w:b/>
          <w:bCs/>
          <w:color w:val="0B2C4D"/>
          <w:sz w:val="21"/>
          <w:szCs w:val="21"/>
        </w:rPr>
        <w:t xml:space="preserve">Duplication mode:</w:t>
      </w:r>
      <w:r>
        <w:rPr>
          <w:rFonts w:ascii="Calibri" w:cs="Calibri" w:eastAsia="Calibri" w:hAnsi="Calibri"/>
          <w:color w:val="1F2A33"/>
          <w:sz w:val="21"/>
          <w:szCs w:val="21"/>
        </w:rPr>
        <w:t xml:space="preserve"> show only high-similarity edges, listing candidate consolidations with estimated savings.</w:t>
      </w:r>
    </w:p>
    <w:p>
      <w:pPr>
        <w:pStyle w:val="ListParagraph"/>
        <w:numPr>
          <w:ilvl w:val="0"/>
          <w:numId w:val="2"/>
        </w:numPr>
        <w:spacing w:after="70" w:line="268"/>
      </w:pPr>
      <w:r>
        <w:rPr>
          <w:rFonts w:ascii="Calibri" w:cs="Calibri" w:eastAsia="Calibri" w:hAnsi="Calibri"/>
          <w:b/>
          <w:bCs/>
          <w:color w:val="0B2C4D"/>
          <w:sz w:val="21"/>
          <w:szCs w:val="21"/>
        </w:rPr>
        <w:t xml:space="preserve">Gap mode:</w:t>
      </w:r>
      <w:r>
        <w:rPr>
          <w:rFonts w:ascii="Calibri" w:cs="Calibri" w:eastAsia="Calibri" w:hAnsi="Calibri"/>
          <w:color w:val="1F2A33"/>
          <w:sz w:val="21"/>
          <w:szCs w:val="21"/>
        </w:rPr>
        <w:t xml:space="preserve"> overlay demand-board themes onto the mesh to show where the estate has no supply.</w:t>
      </w:r>
    </w:p>
    <w:p>
      <w:pPr>
        <w:pStyle w:val="ListParagraph"/>
        <w:numPr>
          <w:ilvl w:val="0"/>
          <w:numId w:val="2"/>
        </w:numPr>
        <w:spacing w:after="70" w:line="268"/>
      </w:pPr>
      <w:r>
        <w:rPr>
          <w:rFonts w:ascii="Calibri" w:cs="Calibri" w:eastAsia="Calibri" w:hAnsi="Calibri"/>
          <w:b/>
          <w:bCs/>
          <w:color w:val="0B2C4D"/>
          <w:sz w:val="21"/>
          <w:szCs w:val="21"/>
        </w:rPr>
        <w:t xml:space="preserve">Accessible equivalent:</w:t>
      </w:r>
      <w:r>
        <w:rPr>
          <w:rFonts w:ascii="Calibri" w:cs="Calibri" w:eastAsia="Calibri" w:hAnsi="Calibri"/>
          <w:color w:val="1F2A33"/>
          <w:sz w:val="21"/>
          <w:szCs w:val="21"/>
        </w:rPr>
        <w:t xml:space="preserve"> every mesh view has a keyboard-navigable table rendering the same edges, counts and attributes. The graph is never the only path to the information.</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17. AI Agent Mesh</w:t>
      </w:r>
    </w:p>
    <w:p>
      <w:pPr>
        <w:spacing w:after="120" w:line="276"/>
        <w:jc w:val="left"/>
      </w:pPr>
      <w:r>
        <w:rPr>
          <w:rFonts w:ascii="Calibri" w:cs="Calibri" w:eastAsia="Calibri" w:hAnsi="Calibri"/>
          <w:b w:val="false"/>
          <w:bCs w:val="false"/>
          <w:i w:val="false"/>
          <w:iCs w:val="false"/>
          <w:color w:val="1F2A33"/>
          <w:sz w:val="21"/>
          <w:szCs w:val="21"/>
        </w:rPr>
        <w:t xml:space="preserve">The agent mesh answers three questions: which agents do similar things, which agents depend on the same data, and where should a consumer be routed when one agent cannot help.</w:t>
      </w:r>
    </w:p>
    <w:p>
      <w:pPr>
        <w:pStyle w:val="Heading2"/>
        <w:spacing w:after="120" w:before="280"/>
      </w:pPr>
      <w:r>
        <w:rPr>
          <w:rFonts w:ascii="Calibri" w:cs="Calibri" w:eastAsia="Calibri" w:hAnsi="Calibri"/>
          <w:b/>
          <w:bCs/>
          <w:color w:val="117A8B"/>
          <w:sz w:val="25"/>
          <w:szCs w:val="25"/>
        </w:rPr>
        <w:t xml:space="preserve">17.1 Edge Types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218"/>
        <w:gridCol w:w="3427"/>
        <w:gridCol w:w="4435"/>
      </w:tblGrid>
      <w:tr>
        <w:trPr>
          <w:tblHeader/>
        </w:trPr>
        <w:tc>
          <w:tcPr>
            <w:tcW w:type="dxa" w:w="221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Edge</w:t>
            </w:r>
          </w:p>
        </w:tc>
        <w:tc>
          <w:tcPr>
            <w:tcW w:type="dxa" w:w="3427"/>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Derivation</w:t>
            </w:r>
          </w:p>
        </w:tc>
        <w:tc>
          <w:tcPr>
            <w:tcW w:type="dxa" w:w="443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Use</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Shared data product</w:t>
            </w:r>
          </w:p>
        </w:tc>
        <w:tc>
          <w:tcPr>
            <w:tcW w:type="dxa" w:w="342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Both agents consume the same product</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Upstream incident impact; consolidation candidate</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Overlapping KPI coverage</w:t>
            </w:r>
          </w:p>
        </w:tc>
        <w:tc>
          <w:tcPr>
            <w:tcW w:type="dxa" w:w="342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Coverage maps intersect on certified KPI IDs</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Duplication risk; a KPI answered by two agents must not diverge</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Complementary</w:t>
            </w:r>
          </w:p>
        </w:tc>
        <w:tc>
          <w:tcPr>
            <w:tcW w:type="dxa" w:w="342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One agent’s out-of-scope questions are another’s coverage</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Powers "this agent cannot answer that — try this one" handoff</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Compositional</w:t>
            </w:r>
          </w:p>
        </w:tc>
        <w:tc>
          <w:tcPr>
            <w:tcW w:type="dxa" w:w="342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One agent invokes another as a tool</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Explicit dependency; triggers the compositional entitlement check</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Same domain</w:t>
            </w:r>
          </w:p>
        </w:tc>
        <w:tc>
          <w:tcPr>
            <w:tcW w:type="dxa" w:w="342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Shared industry and business domain</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Clustering for browse</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Co-usage</w:t>
            </w:r>
          </w:p>
        </w:tc>
        <w:tc>
          <w:tcPr>
            <w:tcW w:type="dxa" w:w="342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Same users query both in a session window</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Behavioural affinity for recommendations</w:t>
            </w:r>
          </w:p>
        </w:tc>
      </w:tr>
    </w:tbl>
    <w:p>
      <w:pPr>
        <w:pStyle w:val="Heading2"/>
        <w:spacing w:after="120" w:before="280"/>
      </w:pPr>
      <w:r>
        <w:rPr>
          <w:rFonts w:ascii="Calibri" w:cs="Calibri" w:eastAsia="Calibri" w:hAnsi="Calibri"/>
          <w:b/>
          <w:bCs/>
          <w:color w:val="117A8B"/>
          <w:sz w:val="25"/>
          <w:szCs w:val="25"/>
        </w:rPr>
        <w:t xml:space="preserve">17.2 Governance Signals Surfaced by the Agent Mesh</w:t>
      </w:r>
    </w:p>
    <w:p>
      <w:pPr>
        <w:pStyle w:val="ListParagraph"/>
        <w:numPr>
          <w:ilvl w:val="0"/>
          <w:numId w:val="2"/>
        </w:numPr>
        <w:spacing w:after="70" w:line="268"/>
      </w:pPr>
      <w:r>
        <w:rPr>
          <w:rFonts w:ascii="Calibri" w:cs="Calibri" w:eastAsia="Calibri" w:hAnsi="Calibri"/>
          <w:b/>
          <w:bCs/>
          <w:color w:val="0B2C4D"/>
          <w:sz w:val="21"/>
          <w:szCs w:val="21"/>
        </w:rPr>
        <w:t xml:space="preserve">Divergence detection.</w:t>
      </w:r>
      <w:r>
        <w:rPr>
          <w:rFonts w:ascii="Calibri" w:cs="Calibri" w:eastAsia="Calibri" w:hAnsi="Calibri"/>
          <w:color w:val="1F2A33"/>
          <w:sz w:val="21"/>
          <w:szCs w:val="21"/>
        </w:rPr>
        <w:t xml:space="preserve"> Where two agents answer the same certified KPI, a scheduled job asks both the same question and compares. A material difference is an incident against both, because a KPI with two answers is worse than a KPI with none.</w:t>
      </w:r>
    </w:p>
    <w:p>
      <w:pPr>
        <w:pStyle w:val="ListParagraph"/>
        <w:numPr>
          <w:ilvl w:val="0"/>
          <w:numId w:val="2"/>
        </w:numPr>
        <w:spacing w:after="70" w:line="268"/>
      </w:pPr>
      <w:r>
        <w:rPr>
          <w:rFonts w:ascii="Calibri" w:cs="Calibri" w:eastAsia="Calibri" w:hAnsi="Calibri"/>
          <w:b/>
          <w:bCs/>
          <w:color w:val="0B2C4D"/>
          <w:sz w:val="21"/>
          <w:szCs w:val="21"/>
        </w:rPr>
        <w:t xml:space="preserve">Consolidation candidates.</w:t>
      </w:r>
      <w:r>
        <w:rPr>
          <w:rFonts w:ascii="Calibri" w:cs="Calibri" w:eastAsia="Calibri" w:hAnsi="Calibri"/>
          <w:color w:val="1F2A33"/>
          <w:sz w:val="21"/>
          <w:szCs w:val="21"/>
        </w:rPr>
        <w:t xml:space="preserve"> Agents with coverage overlap above 0.70 and shared products above 0.70 are surfaced to the domain architect with a recommendation and a rationale.</w:t>
      </w:r>
    </w:p>
    <w:p>
      <w:pPr>
        <w:pStyle w:val="ListParagraph"/>
        <w:numPr>
          <w:ilvl w:val="0"/>
          <w:numId w:val="2"/>
        </w:numPr>
        <w:spacing w:after="70" w:line="268"/>
      </w:pPr>
      <w:r>
        <w:rPr>
          <w:rFonts w:ascii="Calibri" w:cs="Calibri" w:eastAsia="Calibri" w:hAnsi="Calibri"/>
          <w:b/>
          <w:bCs/>
          <w:color w:val="0B2C4D"/>
          <w:sz w:val="21"/>
          <w:szCs w:val="21"/>
        </w:rPr>
        <w:t xml:space="preserve">Coverage gap map.</w:t>
      </w:r>
      <w:r>
        <w:rPr>
          <w:rFonts w:ascii="Calibri" w:cs="Calibri" w:eastAsia="Calibri" w:hAnsi="Calibri"/>
          <w:color w:val="1F2A33"/>
          <w:sz w:val="21"/>
          <w:szCs w:val="21"/>
        </w:rPr>
        <w:t xml:space="preserve"> Overlay of consumer questions that no agent answered onto the domain grid — the direct input to the agent roadmap.</w:t>
      </w:r>
    </w:p>
    <w:p>
      <w:pPr>
        <w:pStyle w:val="ListParagraph"/>
        <w:numPr>
          <w:ilvl w:val="0"/>
          <w:numId w:val="2"/>
        </w:numPr>
        <w:spacing w:after="70" w:line="268"/>
      </w:pPr>
      <w:r>
        <w:rPr>
          <w:rFonts w:ascii="Calibri" w:cs="Calibri" w:eastAsia="Calibri" w:hAnsi="Calibri"/>
          <w:b/>
          <w:bCs/>
          <w:color w:val="0B2C4D"/>
          <w:sz w:val="21"/>
          <w:szCs w:val="21"/>
        </w:rPr>
        <w:t xml:space="preserve">Compositional exposure.</w:t>
      </w:r>
      <w:r>
        <w:rPr>
          <w:rFonts w:ascii="Calibri" w:cs="Calibri" w:eastAsia="Calibri" w:hAnsi="Calibri"/>
          <w:color w:val="1F2A33"/>
          <w:sz w:val="21"/>
          <w:szCs w:val="21"/>
        </w:rPr>
        <w:t xml:space="preserve"> Where agent A invokes agent B, the mesh renders the union of data reachable through the chain, and flags where that union exceeds what either agent is individually scoped for. This check runs at publish time and on every scope change.</w:t>
      </w:r>
    </w:p>
    <w:p>
      <w:pPr>
        <w:pStyle w:val="Heading2"/>
        <w:spacing w:after="120" w:before="280"/>
      </w:pPr>
      <w:r>
        <w:rPr>
          <w:rFonts w:ascii="Calibri" w:cs="Calibri" w:eastAsia="Calibri" w:hAnsi="Calibri"/>
          <w:b/>
          <w:bCs/>
          <w:color w:val="117A8B"/>
          <w:sz w:val="25"/>
          <w:szCs w:val="25"/>
        </w:rPr>
        <w:t xml:space="preserve">17.3 Handoff Behaviour</w:t>
      </w:r>
    </w:p>
    <w:p>
      <w:pPr>
        <w:spacing w:after="120" w:line="276"/>
        <w:jc w:val="left"/>
      </w:pPr>
      <w:r>
        <w:rPr>
          <w:rFonts w:ascii="Calibri" w:cs="Calibri" w:eastAsia="Calibri" w:hAnsi="Calibri"/>
          <w:b w:val="false"/>
          <w:bCs w:val="false"/>
          <w:i w:val="false"/>
          <w:iCs w:val="false"/>
          <w:color w:val="1F2A33"/>
          <w:sz w:val="21"/>
          <w:szCs w:val="21"/>
        </w:rPr>
        <w:t xml:space="preserve">When an agent receives a question outside its coverage map it does not guess. It states the boundary, names the agent or data product that does cover it, and offers a one-click handoff carrying the question across. Where nothing covers it, the refusal offers a pre-filled demand request. Every out-of-scope question is logged to the coverage-gap corpus regardless of what the consumer does next.</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18. Usage, Adoption &amp; Value Realization</w:t>
      </w:r>
    </w:p>
    <w:p>
      <w:pPr>
        <w:spacing w:after="120" w:line="276"/>
        <w:jc w:val="left"/>
      </w:pPr>
      <w:r>
        <w:rPr>
          <w:rFonts w:ascii="Calibri" w:cs="Calibri" w:eastAsia="Calibri" w:hAnsi="Calibri"/>
          <w:b w:val="false"/>
          <w:bCs w:val="false"/>
          <w:i w:val="false"/>
          <w:iCs w:val="false"/>
          <w:color w:val="1F2A33"/>
          <w:sz w:val="21"/>
          <w:szCs w:val="21"/>
        </w:rPr>
        <w:t xml:space="preserve">Adoption without value is vanity; value without adoption is a projection. The module tracks both and shows the arithmetic openly — an unfalsifiable value claim is worse than no claim.</w:t>
      </w:r>
    </w:p>
    <w:p>
      <w:pPr>
        <w:pStyle w:val="Heading2"/>
        <w:spacing w:after="120" w:before="280"/>
      </w:pPr>
      <w:r>
        <w:rPr>
          <w:rFonts w:ascii="Calibri" w:cs="Calibri" w:eastAsia="Calibri" w:hAnsi="Calibri"/>
          <w:b/>
          <w:bCs/>
          <w:color w:val="117A8B"/>
          <w:sz w:val="25"/>
          <w:szCs w:val="25"/>
        </w:rPr>
        <w:t xml:space="preserve">18.1 Metric Layers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915"/>
        <w:gridCol w:w="8165"/>
      </w:tblGrid>
      <w:tr>
        <w:trPr>
          <w:tblHeader/>
        </w:trPr>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Layer</w:t>
            </w:r>
          </w:p>
        </w:tc>
        <w:tc>
          <w:tcPr>
            <w:tcW w:type="dxa" w:w="816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Metrics</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Usage</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Queries, API calls, MCP tool invocations, agent questions, distinct users, sessions, rows scanned, cost consumed</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Adoption</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Distinct consumers (30/90d), new versus returning, team penetration versus addressable population, repeat-use rate, time-to-first-query after grant, breadth across departments</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Engagement quality</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Session depth, follow-up question rate, answer acceptance rate, abandonment rate, permission-denied rate</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Value</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Analyst hours deflected, duplicate builds avoided, decision cycle-time reduction, revenue or cost outcomes attributed by the business, risk events prevented</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Compute, storage, model inference, platform licence share, and stewardship effort — allocated per asset and per consuming department</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Net</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Value minus cost, with a confidence rating and the assumption set displayed</w:t>
            </w:r>
          </w:p>
        </w:tc>
      </w:tr>
    </w:tbl>
    <w:p>
      <w:pPr>
        <w:pStyle w:val="Heading2"/>
        <w:spacing w:after="120" w:before="280"/>
      </w:pPr>
      <w:r>
        <w:rPr>
          <w:rFonts w:ascii="Calibri" w:cs="Calibri" w:eastAsia="Calibri" w:hAnsi="Calibri"/>
          <w:b/>
          <w:bCs/>
          <w:color w:val="117A8B"/>
          <w:sz w:val="25"/>
          <w:szCs w:val="25"/>
        </w:rPr>
        <w:t xml:space="preserve">18.2 Value Case Structure</w:t>
      </w:r>
    </w:p>
    <w:p>
      <w:pPr>
        <w:spacing w:after="120" w:line="276"/>
        <w:jc w:val="left"/>
      </w:pPr>
      <w:r>
        <w:rPr>
          <w:rFonts w:ascii="Calibri" w:cs="Calibri" w:eastAsia="Calibri" w:hAnsi="Calibri"/>
          <w:b w:val="false"/>
          <w:bCs w:val="false"/>
          <w:i w:val="false"/>
          <w:iCs w:val="false"/>
          <w:color w:val="1F2A33"/>
          <w:sz w:val="21"/>
          <w:szCs w:val="21"/>
        </w:rPr>
        <w:t xml:space="preserve">Every published asset carries this structure. It is authored by the owner, reviewed by the sponsor, and re-reviewed at least every two quarters. Staleness is displayed on the listing.</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218"/>
        <w:gridCol w:w="7862"/>
      </w:tblGrid>
      <w:tr>
        <w:trPr>
          <w:tblHeader/>
        </w:trPr>
        <w:tc>
          <w:tcPr>
            <w:tcW w:type="dxa" w:w="221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Component</w:t>
            </w:r>
          </w:p>
        </w:tc>
        <w:tc>
          <w:tcPr>
            <w:tcW w:type="dxa" w:w="786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Requirement</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Business outcome</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named decision or process this asset improves — not "better insights"</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Baseline</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How the outcome was achieved before, with time and cost, captured at intake</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Benefit model</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Explicit formula with named inputs, e.g. deflected_questions × avg_analyst_minutes × loaded_rate</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Assumptions</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assumption stated and dated. Unstated assumptions make the case indefensible at budget review.</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Realized value</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Measured to date from telemetry, versus the projection</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Attribution confidence</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High (measured directly) · Medium (modelled from telemetry) · Low (estimated). Displayed with the number, always.</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 of ownership</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Build, run, and stewardship cost</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Review record</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Last reviewed date, reviewer, and change from prior review</w:t>
            </w:r>
          </w:p>
        </w:tc>
      </w:tr>
    </w:tbl>
    <w:p>
      <w:pPr>
        <w:pStyle w:val="Heading2"/>
        <w:spacing w:after="120" w:before="280"/>
      </w:pPr>
      <w:r>
        <w:rPr>
          <w:rFonts w:ascii="Calibri" w:cs="Calibri" w:eastAsia="Calibri" w:hAnsi="Calibri"/>
          <w:b/>
          <w:bCs/>
          <w:color w:val="117A8B"/>
          <w:sz w:val="25"/>
          <w:szCs w:val="25"/>
        </w:rPr>
        <w:t xml:space="preserve">18.3 Deflection Model for Agents</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deflected_hours =  answered_questions</w:t>
            </w:r>
          </w:p>
          <w:p>
            <w:pPr>
              <w:spacing w:after="0" w:line="240"/>
            </w:pPr>
            <w:r>
              <w:rPr>
                <w:rFonts w:ascii="Consolas" w:cs="Consolas" w:eastAsia="Consolas" w:hAnsi="Consolas"/>
                <w:color w:val="16323F"/>
                <w:sz w:val="16"/>
                <w:szCs w:val="16"/>
              </w:rPr>
              <w:t xml:space="preserve">                 × answer_acceptance_rate</w:t>
            </w:r>
          </w:p>
          <w:p>
            <w:pPr>
              <w:spacing w:after="0" w:line="240"/>
            </w:pPr>
            <w:r>
              <w:rPr>
                <w:rFonts w:ascii="Consolas" w:cs="Consolas" w:eastAsia="Consolas" w:hAnsi="Consolas"/>
                <w:color w:val="16323F"/>
                <w:sz w:val="16"/>
                <w:szCs w:val="16"/>
              </w:rPr>
              <w:t xml:space="preserve">                 × avg_manual_minutes_per_question_class   -- calibrated per KPI class</w:t>
            </w:r>
          </w:p>
          <w:p>
            <w:pPr>
              <w:spacing w:after="0" w:line="240"/>
            </w:pPr>
            <w:r>
              <w:rPr>
                <w:rFonts w:ascii="Consolas" w:cs="Consolas" w:eastAsia="Consolas" w:hAnsi="Consolas"/>
                <w:color w:val="16323F"/>
                <w:sz w:val="16"/>
                <w:szCs w:val="16"/>
              </w:rPr>
              <w:t xml:space="preserve">                 ÷ 60</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deflected_value =  deflected_hours × loaded_analyst_rate</w:t>
            </w:r>
          </w:p>
          <w:p>
            <w:pPr>
              <w:spacing w:after="0" w:line="240"/>
            </w:pPr>
            <w:r>
              <w:rPr>
                <w:rFonts w:ascii="Consolas" w:cs="Consolas" w:eastAsia="Consolas" w:hAnsi="Consolas"/>
                <w:color w:val="16323F"/>
                <w:sz w:val="16"/>
                <w:szCs w:val="16"/>
              </w:rPr>
              <w:t xml:space="preserve">net_value        =  deflected_value - (inference_cost + platform_cost + stewardship_cost)</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Calibration: avg_manual_minutes is sampled quarterly from an analyst time study per</w:t>
            </w:r>
          </w:p>
          <w:p>
            <w:pPr>
              <w:spacing w:after="0" w:line="240"/>
            </w:pPr>
            <w:r>
              <w:rPr>
                <w:rFonts w:ascii="Consolas" w:cs="Consolas" w:eastAsia="Consolas" w:hAnsi="Consolas"/>
                <w:color w:val="16323F"/>
                <w:sz w:val="16"/>
                <w:szCs w:val="16"/>
              </w:rPr>
              <w:t xml:space="preserve">question class and stored as reference data with the sample size and date. It is never</w:t>
            </w:r>
          </w:p>
          <w:p>
            <w:pPr>
              <w:spacing w:after="0" w:line="240"/>
            </w:pPr>
            <w:r>
              <w:rPr>
                <w:rFonts w:ascii="Consolas" w:cs="Consolas" w:eastAsia="Consolas" w:hAnsi="Consolas"/>
                <w:color w:val="16323F"/>
                <w:sz w:val="16"/>
                <w:szCs w:val="16"/>
              </w:rPr>
              <w:t xml:space="preserve">a hardcoded constant, and the sample size is displayed next to any figure derived from it.</w:t>
            </w:r>
          </w:p>
        </w:tc>
      </w:tr>
    </w:tbl>
    <w:p>
      <w:pPr>
        <w:pStyle w:val="Heading2"/>
        <w:spacing w:after="120" w:before="280"/>
      </w:pPr>
      <w:r>
        <w:rPr>
          <w:rFonts w:ascii="Calibri" w:cs="Calibri" w:eastAsia="Calibri" w:hAnsi="Calibri"/>
          <w:b/>
          <w:bCs/>
          <w:color w:val="117A8B"/>
          <w:sz w:val="25"/>
          <w:szCs w:val="25"/>
        </w:rPr>
        <w:t xml:space="preserve">18.4 Portfolio Views</w:t>
      </w:r>
    </w:p>
    <w:p>
      <w:pPr>
        <w:pStyle w:val="ListParagraph"/>
        <w:numPr>
          <w:ilvl w:val="0"/>
          <w:numId w:val="2"/>
        </w:numPr>
        <w:spacing w:after="70" w:line="268"/>
      </w:pPr>
      <w:r>
        <w:rPr>
          <w:rFonts w:ascii="Calibri" w:cs="Calibri" w:eastAsia="Calibri" w:hAnsi="Calibri"/>
          <w:b/>
          <w:bCs/>
          <w:color w:val="0B2C4D"/>
          <w:sz w:val="21"/>
          <w:szCs w:val="21"/>
        </w:rPr>
        <w:t xml:space="preserve">Value versus cost quadrant</w:t>
      </w:r>
      <w:r>
        <w:rPr>
          <w:rFonts w:ascii="Calibri" w:cs="Calibri" w:eastAsia="Calibri" w:hAnsi="Calibri"/>
          <w:color w:val="1F2A33"/>
          <w:sz w:val="21"/>
          <w:szCs w:val="21"/>
        </w:rPr>
        <w:t xml:space="preserve"> across all assets — high value / low cost is the reference pattern; low value / high cost is the retirement queue.</w:t>
      </w:r>
    </w:p>
    <w:p>
      <w:pPr>
        <w:pStyle w:val="ListParagraph"/>
        <w:numPr>
          <w:ilvl w:val="0"/>
          <w:numId w:val="2"/>
        </w:numPr>
        <w:spacing w:after="70" w:line="268"/>
      </w:pPr>
      <w:r>
        <w:rPr>
          <w:rFonts w:ascii="Calibri" w:cs="Calibri" w:eastAsia="Calibri" w:hAnsi="Calibri"/>
          <w:b/>
          <w:bCs/>
          <w:color w:val="0B2C4D"/>
          <w:sz w:val="21"/>
          <w:szCs w:val="21"/>
        </w:rPr>
        <w:t xml:space="preserve">Adoption cohort curves</w:t>
      </w:r>
      <w:r>
        <w:rPr>
          <w:rFonts w:ascii="Calibri" w:cs="Calibri" w:eastAsia="Calibri" w:hAnsi="Calibri"/>
          <w:color w:val="1F2A33"/>
          <w:sz w:val="21"/>
          <w:szCs w:val="21"/>
        </w:rPr>
        <w:t xml:space="preserve"> by publication quarter, showing whether newer assets reach adoption faster than older ones.</w:t>
      </w:r>
    </w:p>
    <w:p>
      <w:pPr>
        <w:pStyle w:val="ListParagraph"/>
        <w:numPr>
          <w:ilvl w:val="0"/>
          <w:numId w:val="2"/>
        </w:numPr>
        <w:spacing w:after="70" w:line="268"/>
      </w:pPr>
      <w:r>
        <w:rPr>
          <w:rFonts w:ascii="Calibri" w:cs="Calibri" w:eastAsia="Calibri" w:hAnsi="Calibri"/>
          <w:b/>
          <w:bCs/>
          <w:color w:val="0B2C4D"/>
          <w:sz w:val="21"/>
          <w:szCs w:val="21"/>
        </w:rPr>
        <w:t xml:space="preserve">Retirement candidates</w:t>
      </w:r>
      <w:r>
        <w:rPr>
          <w:rFonts w:ascii="Calibri" w:cs="Calibri" w:eastAsia="Calibri" w:hAnsi="Calibri"/>
          <w:color w:val="1F2A33"/>
          <w:sz w:val="21"/>
          <w:szCs w:val="21"/>
        </w:rPr>
        <w:t xml:space="preserve"> — assets with declining consumers, no queries in 90 days, or unresolved quality decline, with a structured deprecation proposal.</w:t>
      </w:r>
    </w:p>
    <w:p>
      <w:pPr>
        <w:pStyle w:val="ListParagraph"/>
        <w:numPr>
          <w:ilvl w:val="0"/>
          <w:numId w:val="2"/>
        </w:numPr>
        <w:spacing w:after="70" w:line="268"/>
      </w:pPr>
      <w:r>
        <w:rPr>
          <w:rFonts w:ascii="Calibri" w:cs="Calibri" w:eastAsia="Calibri" w:hAnsi="Calibri"/>
          <w:b/>
          <w:bCs/>
          <w:color w:val="0B2C4D"/>
          <w:sz w:val="21"/>
          <w:szCs w:val="21"/>
        </w:rPr>
        <w:t xml:space="preserve">Unmet demand value</w:t>
      </w:r>
      <w:r>
        <w:rPr>
          <w:rFonts w:ascii="Calibri" w:cs="Calibri" w:eastAsia="Calibri" w:hAnsi="Calibri"/>
          <w:color w:val="1F2A33"/>
          <w:sz w:val="21"/>
          <w:szCs w:val="21"/>
        </w:rPr>
        <w:t xml:space="preserve"> — the aggregate scored value sitting on the demand board, which is the argument for platform headcount.</w:t>
      </w:r>
    </w:p>
    <w:p>
      <w:pPr>
        <w:pStyle w:val="ListParagraph"/>
        <w:numPr>
          <w:ilvl w:val="0"/>
          <w:numId w:val="2"/>
        </w:numPr>
        <w:spacing w:after="70" w:line="268"/>
      </w:pPr>
      <w:r>
        <w:rPr>
          <w:rFonts w:ascii="Calibri" w:cs="Calibri" w:eastAsia="Calibri" w:hAnsi="Calibri"/>
          <w:b/>
          <w:bCs/>
          <w:color w:val="0B2C4D"/>
          <w:sz w:val="21"/>
          <w:szCs w:val="21"/>
        </w:rPr>
        <w:t xml:space="preserve">Executive board pack</w:t>
      </w:r>
      <w:r>
        <w:rPr>
          <w:rFonts w:ascii="Calibri" w:cs="Calibri" w:eastAsia="Calibri" w:hAnsi="Calibri"/>
          <w:color w:val="1F2A33"/>
          <w:sz w:val="21"/>
          <w:szCs w:val="21"/>
        </w:rPr>
        <w:t xml:space="preserve"> — a generated PDF/PPTX from the same snapshot data, so the deck and the dashboard can never disagree.</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19. Observability for Data Products &amp; Agents</w:t>
      </w:r>
    </w:p>
    <w:p>
      <w:pPr>
        <w:spacing w:after="120" w:line="276"/>
        <w:jc w:val="left"/>
      </w:pPr>
      <w:r>
        <w:rPr>
          <w:rFonts w:ascii="Calibri" w:cs="Calibri" w:eastAsia="Calibri" w:hAnsi="Calibri"/>
          <w:b w:val="false"/>
          <w:bCs w:val="false"/>
          <w:i w:val="false"/>
          <w:iCs w:val="false"/>
          <w:color w:val="1F2A33"/>
          <w:sz w:val="21"/>
          <w:szCs w:val="21"/>
        </w:rPr>
        <w:t xml:space="preserve">One observability plane covering both asset classes, because an agent’s health is inseparable from the health of the products beneath it.</w:t>
      </w:r>
    </w:p>
    <w:p>
      <w:pPr>
        <w:pStyle w:val="Heading2"/>
        <w:spacing w:after="120" w:before="280"/>
      </w:pPr>
      <w:r>
        <w:rPr>
          <w:rFonts w:ascii="Calibri" w:cs="Calibri" w:eastAsia="Calibri" w:hAnsi="Calibri"/>
          <w:b/>
          <w:bCs/>
          <w:color w:val="117A8B"/>
          <w:sz w:val="25"/>
          <w:szCs w:val="25"/>
        </w:rPr>
        <w:t xml:space="preserve">19.1 Data Product Signals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512"/>
        <w:gridCol w:w="5040"/>
        <w:gridCol w:w="3528"/>
      </w:tblGrid>
      <w:tr>
        <w:trPr>
          <w:tblHeader/>
        </w:trPr>
        <w:tc>
          <w:tcPr>
            <w:tcW w:type="dxa" w:w="151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Signal group</w:t>
            </w:r>
          </w:p>
        </w:tc>
        <w:tc>
          <w:tcPr>
            <w:tcW w:type="dxa" w:w="504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Measures</w:t>
            </w:r>
          </w:p>
        </w:tc>
        <w:tc>
          <w:tcPr>
            <w:tcW w:type="dxa" w:w="352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Alert condition</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Freshness</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Load completion time per partition versus contract SLA; lag distribution</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SLA breach, or p95 lag trending beyond 80% of budget</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Volume</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Row counts versus forecast band; partition completeness</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Deviation beyond the seasonally-adjusted band</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Schema</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Column additions, type changes, drops; contract conformance</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Any breaking change, or any change without a version bump</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Quality</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Rule pass rates by dimension; composite score movement</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Composite drop of more than 5 points, or any critical rule failure</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Distribution</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Null rates, cardinality, categorical mix, numeric moments versus baseline</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Drift beyond configured tolerance — a leading indicator of silent upstream change</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Pipeline</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Run duration, failure and retry rates, upstream dependency state</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Failure, or duration beyond p95 baseline</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Access</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Query success rate, permission-denied rate, unusual access patterns</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Denied-rate spike (entitlement gap) or anomalous access (security)</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Compute and storage trend per consumer</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Cost per query rising while query volume is flat</w:t>
            </w:r>
          </w:p>
        </w:tc>
      </w:tr>
    </w:tbl>
    <w:p>
      <w:pPr>
        <w:pStyle w:val="Heading2"/>
        <w:spacing w:after="120" w:before="280"/>
      </w:pPr>
      <w:r>
        <w:rPr>
          <w:rFonts w:ascii="Calibri" w:cs="Calibri" w:eastAsia="Calibri" w:hAnsi="Calibri"/>
          <w:b/>
          <w:bCs/>
          <w:color w:val="117A8B"/>
          <w:sz w:val="25"/>
          <w:szCs w:val="25"/>
        </w:rPr>
        <w:t xml:space="preserve">19.2 Agent Signals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613"/>
        <w:gridCol w:w="4939"/>
        <w:gridCol w:w="3528"/>
      </w:tblGrid>
      <w:tr>
        <w:trPr>
          <w:tblHeader/>
        </w:trPr>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Signal group</w:t>
            </w:r>
          </w:p>
        </w:tc>
        <w:tc>
          <w:tcPr>
            <w:tcW w:type="dxa" w:w="493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Measures</w:t>
            </w:r>
          </w:p>
        </w:tc>
        <w:tc>
          <w:tcPr>
            <w:tcW w:type="dxa" w:w="352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Alert condition</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Answer quality</w:t>
            </w:r>
          </w:p>
        </w:tc>
        <w:tc>
          <w:tcPr>
            <w:tcW w:type="dxa" w:w="49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Acceptance rate, thumbs-down rate, evaluation-suite pass rate</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Pass rate below threshold or a 3-point week-over-week acceptance drop</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Groundedness</w:t>
            </w:r>
          </w:p>
        </w:tc>
        <w:tc>
          <w:tcPr>
            <w:tcW w:type="dxa" w:w="49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Share of numeric claims carrying valid citations; citation validity checks</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Any uncited numeric output — treated as a defect, not a warning</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Coverage</w:t>
            </w:r>
          </w:p>
        </w:tc>
        <w:tc>
          <w:tcPr>
            <w:tcW w:type="dxa" w:w="49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In-scope rate, refusal rate, out-of-scope question volume by theme</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Refusal rate above threshold, or a new gap theme reaching volume</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Performance</w:t>
            </w:r>
          </w:p>
        </w:tc>
        <w:tc>
          <w:tcPr>
            <w:tcW w:type="dxa" w:w="49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p50/p95 latency, timeout rate, tool-call failure rate</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p95 beyond budget; any tool-call error-rate spike</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w:t>
            </w:r>
          </w:p>
        </w:tc>
        <w:tc>
          <w:tcPr>
            <w:tcW w:type="dxa" w:w="49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Tokens and inference cost per answer; cost per accepted answer</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Cost per accepted answer rising faster than volume</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Upstream health</w:t>
            </w:r>
          </w:p>
        </w:tc>
        <w:tc>
          <w:tcPr>
            <w:tcW w:type="dxa" w:w="49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and freshness of every consumed product</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Any upstream product entering the Watch band — surfaces a trust banner on the agent</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Drift</w:t>
            </w:r>
          </w:p>
        </w:tc>
        <w:tc>
          <w:tcPr>
            <w:tcW w:type="dxa" w:w="49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Evaluation-suite regression across model or prompt versions</w:t>
            </w:r>
          </w:p>
        </w:tc>
        <w:tc>
          <w:tcPr>
            <w:tcW w:type="dxa" w:w="352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Any regression against the golden set blocks promotion</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Safety</w:t>
            </w:r>
          </w:p>
        </w:tc>
        <w:tc>
          <w:tcPr>
            <w:tcW w:type="dxa" w:w="49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Guardrail triggers, injection attempts, scope-violation attempts</w:t>
            </w:r>
          </w:p>
        </w:tc>
        <w:tc>
          <w:tcPr>
            <w:tcW w:type="dxa" w:w="352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Any scope-violation attempt is a security event, logged and routed</w:t>
            </w:r>
          </w:p>
        </w:tc>
      </w:tr>
    </w:tbl>
    <w:p>
      <w:pPr>
        <w:pStyle w:val="Heading2"/>
        <w:spacing w:after="120" w:before="280"/>
      </w:pPr>
      <w:r>
        <w:rPr>
          <w:rFonts w:ascii="Calibri" w:cs="Calibri" w:eastAsia="Calibri" w:hAnsi="Calibri"/>
          <w:b/>
          <w:bCs/>
          <w:color w:val="117A8B"/>
          <w:sz w:val="25"/>
          <w:szCs w:val="25"/>
        </w:rPr>
        <w:t xml:space="preserve">19.3 Incident Lifecycle</w:t>
      </w:r>
    </w:p>
    <w:p>
      <w:pPr>
        <w:spacing w:after="120" w:line="276"/>
        <w:jc w:val="left"/>
      </w:pPr>
      <w:r>
        <w:rPr>
          <w:rFonts w:ascii="Calibri" w:cs="Calibri" w:eastAsia="Calibri" w:hAnsi="Calibri"/>
          <w:b w:val="false"/>
          <w:bCs w:val="false"/>
          <w:i w:val="false"/>
          <w:iCs w:val="false"/>
          <w:color w:val="1F2A33"/>
          <w:sz w:val="21"/>
          <w:szCs w:val="21"/>
        </w:rPr>
        <w:t xml:space="preserve">Detect → classify severity by blast radius from the mesh → notify owner and affected consumers → display a banner on every affected listing → track to resolution → publish a root cause → link the incident permanently to the asset’s quality history.</w:t>
      </w:r>
    </w:p>
    <w:p>
      <w:pPr>
        <w:pStyle w:val="ListParagraph"/>
        <w:numPr>
          <w:ilvl w:val="0"/>
          <w:numId w:val="2"/>
        </w:numPr>
        <w:spacing w:after="70" w:line="268"/>
      </w:pPr>
      <w:r>
        <w:rPr>
          <w:rFonts w:ascii="Calibri" w:cs="Calibri" w:eastAsia="Calibri" w:hAnsi="Calibri"/>
          <w:color w:val="1F2A33"/>
          <w:sz w:val="21"/>
          <w:szCs w:val="21"/>
        </w:rPr>
        <w:t xml:space="preserve">Severity is computed, not chosen: it derives from downstream consumer count, sensitivity tier, and contract guarantee breached.</w:t>
      </w:r>
    </w:p>
    <w:p>
      <w:pPr>
        <w:pStyle w:val="ListParagraph"/>
        <w:numPr>
          <w:ilvl w:val="0"/>
          <w:numId w:val="2"/>
        </w:numPr>
        <w:spacing w:after="70" w:line="268"/>
      </w:pPr>
      <w:r>
        <w:rPr>
          <w:rFonts w:ascii="Calibri" w:cs="Calibri" w:eastAsia="Calibri" w:hAnsi="Calibri"/>
          <w:color w:val="1F2A33"/>
          <w:sz w:val="21"/>
          <w:szCs w:val="21"/>
        </w:rPr>
        <w:t xml:space="preserve">Consumer notification is automatic for any breach of a contract guarantee. Owners cannot suppress consumer notification; they can only add context.</w:t>
      </w:r>
    </w:p>
    <w:p>
      <w:pPr>
        <w:pStyle w:val="ListParagraph"/>
        <w:numPr>
          <w:ilvl w:val="0"/>
          <w:numId w:val="2"/>
        </w:numPr>
        <w:spacing w:after="70" w:line="268"/>
      </w:pPr>
      <w:r>
        <w:rPr>
          <w:rFonts w:ascii="Calibri" w:cs="Calibri" w:eastAsia="Calibri" w:hAnsi="Calibri"/>
          <w:color w:val="1F2A33"/>
          <w:sz w:val="21"/>
          <w:szCs w:val="21"/>
        </w:rPr>
        <w:t xml:space="preserve">Every incident appears on the product’s quality tab and in the agent trust banner for as long as it is open, and in the history permanently.</w:t>
      </w:r>
    </w:p>
    <w:p>
      <w:pPr>
        <w:pStyle w:val="ListParagraph"/>
        <w:numPr>
          <w:ilvl w:val="0"/>
          <w:numId w:val="2"/>
        </w:numPr>
        <w:spacing w:after="70" w:line="268"/>
      </w:pPr>
      <w:r>
        <w:rPr>
          <w:rFonts w:ascii="Calibri" w:cs="Calibri" w:eastAsia="Calibri" w:hAnsi="Calibri"/>
          <w:color w:val="1F2A33"/>
          <w:sz w:val="21"/>
          <w:szCs w:val="21"/>
        </w:rPr>
        <w:t xml:space="preserve">MTTR by product, by domain and by owner is a standing metric on the executive dashboard.</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20. Marketplace Academy</w:t>
      </w:r>
    </w:p>
    <w:p>
      <w:pPr>
        <w:spacing w:after="120" w:line="276"/>
        <w:jc w:val="left"/>
      </w:pPr>
      <w:r>
        <w:rPr>
          <w:rFonts w:ascii="Calibri" w:cs="Calibri" w:eastAsia="Calibri" w:hAnsi="Calibri"/>
          <w:b w:val="false"/>
          <w:bCs w:val="false"/>
          <w:i w:val="false"/>
          <w:iCs w:val="false"/>
          <w:color w:val="1F2A33"/>
          <w:sz w:val="21"/>
          <w:szCs w:val="21"/>
        </w:rPr>
        <w:t xml:space="preserve">The academy exists so that adoption is not gated on tribal knowledge. It is embedded in the product rather than parked on a separate learning platform, and it is contextual — the right module is one click from the listing that raised the question.</w:t>
      </w:r>
    </w:p>
    <w:p>
      <w:pPr>
        <w:pStyle w:val="Heading2"/>
        <w:spacing w:after="120" w:before="280"/>
      </w:pPr>
      <w:r>
        <w:rPr>
          <w:rFonts w:ascii="Calibri" w:cs="Calibri" w:eastAsia="Calibri" w:hAnsi="Calibri"/>
          <w:b/>
          <w:bCs/>
          <w:color w:val="117A8B"/>
          <w:sz w:val="25"/>
          <w:szCs w:val="25"/>
        </w:rPr>
        <w:t xml:space="preserve">20.1 Learning Paths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915"/>
        <w:gridCol w:w="1512"/>
        <w:gridCol w:w="4838"/>
        <w:gridCol w:w="1815"/>
      </w:tblGrid>
      <w:tr>
        <w:trPr>
          <w:tblHeader/>
        </w:trPr>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Path</w:t>
            </w:r>
          </w:p>
        </w:tc>
        <w:tc>
          <w:tcPr>
            <w:tcW w:type="dxa" w:w="151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Audience</w:t>
            </w:r>
          </w:p>
        </w:tc>
        <w:tc>
          <w:tcPr>
            <w:tcW w:type="dxa" w:w="483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Modules</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Outcome</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Consuming data products</w:t>
            </w:r>
          </w:p>
        </w:tc>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Business consumers, analysts</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Finding the right product · reading a quality score · understanding a data contract · requesting access · your first query · citing certified KPIs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Consumer</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Working with agents</w:t>
            </w:r>
          </w:p>
        </w:tc>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users</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What agents can and cannot do · asking answerable questions · reading citations and as-of stamps · when to escalate to a human · giving useful feedback</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Agent User</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Owning a data product</w:t>
            </w:r>
          </w:p>
        </w:tc>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Product owners</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Writing a contract · designing quality rules as data · defining certified KPIs · publishing and versioning · running the backlog · defending the value case</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Product Owner</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Building an agent</w:t>
            </w:r>
          </w:p>
        </w:tc>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 owners, engineers</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Coverage-map design · tool scoping and least privilege · grounding and citation discipline · curating demo exchanges · building the evaluation set · publishing safely</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Agent Owner</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Governing the estate</w:t>
            </w:r>
          </w:p>
        </w:tc>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Stewards, architects</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Classification propagation · certification workflow · mesh interpretation · duplicate-supply triage · entitlement review</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Steward</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Executive briefing</w:t>
            </w:r>
          </w:p>
        </w:tc>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Sponsors, leadership</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Reading the portfolio view · interpreting value cases and their confidence · what to ask at portfolio review</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Completion badge</w:t>
            </w:r>
          </w:p>
        </w:tc>
      </w:tr>
    </w:tbl>
    <w:p>
      <w:pPr>
        <w:pStyle w:val="Heading2"/>
        <w:spacing w:after="120" w:before="280"/>
      </w:pPr>
      <w:r>
        <w:rPr>
          <w:rFonts w:ascii="Calibri" w:cs="Calibri" w:eastAsia="Calibri" w:hAnsi="Calibri"/>
          <w:b/>
          <w:bCs/>
          <w:color w:val="117A8B"/>
          <w:sz w:val="25"/>
          <w:szCs w:val="25"/>
        </w:rPr>
        <w:t xml:space="preserve">20.2 Delivery Mechanics</w:t>
      </w:r>
    </w:p>
    <w:p>
      <w:pPr>
        <w:pStyle w:val="ListParagraph"/>
        <w:numPr>
          <w:ilvl w:val="0"/>
          <w:numId w:val="2"/>
        </w:numPr>
        <w:spacing w:after="70" w:line="268"/>
      </w:pPr>
      <w:r>
        <w:rPr>
          <w:rFonts w:ascii="Calibri" w:cs="Calibri" w:eastAsia="Calibri" w:hAnsi="Calibri"/>
          <w:b/>
          <w:bCs/>
          <w:color w:val="0B2C4D"/>
          <w:sz w:val="21"/>
          <w:szCs w:val="21"/>
        </w:rPr>
        <w:t xml:space="preserve">Contextual runbooks</w:t>
      </w:r>
      <w:r>
        <w:rPr>
          <w:rFonts w:ascii="Calibri" w:cs="Calibri" w:eastAsia="Calibri" w:hAnsi="Calibri"/>
          <w:color w:val="1F2A33"/>
          <w:sz w:val="21"/>
          <w:szCs w:val="21"/>
        </w:rPr>
        <w:t xml:space="preserve"> — every product and agent listing links to the exact module for consuming that asset class and surface, with the asset’s own endpoints substituted into the examples.</w:t>
      </w:r>
    </w:p>
    <w:p>
      <w:pPr>
        <w:pStyle w:val="ListParagraph"/>
        <w:numPr>
          <w:ilvl w:val="0"/>
          <w:numId w:val="2"/>
        </w:numPr>
        <w:spacing w:after="70" w:line="268"/>
      </w:pPr>
      <w:r>
        <w:rPr>
          <w:rFonts w:ascii="Calibri" w:cs="Calibri" w:eastAsia="Calibri" w:hAnsi="Calibri"/>
          <w:b/>
          <w:bCs/>
          <w:color w:val="0B2C4D"/>
          <w:sz w:val="21"/>
          <w:szCs w:val="21"/>
        </w:rPr>
        <w:t xml:space="preserve">Interactive sandboxes</w:t>
      </w:r>
      <w:r>
        <w:rPr>
          <w:rFonts w:ascii="Calibri" w:cs="Calibri" w:eastAsia="Calibri" w:hAnsi="Calibri"/>
          <w:color w:val="1F2A33"/>
          <w:sz w:val="21"/>
          <w:szCs w:val="21"/>
        </w:rPr>
        <w:t xml:space="preserve"> — modules run against the demo tier, so a learner writes a real query or asks a real agent question inside the lesson.</w:t>
      </w:r>
    </w:p>
    <w:p>
      <w:pPr>
        <w:pStyle w:val="ListParagraph"/>
        <w:numPr>
          <w:ilvl w:val="0"/>
          <w:numId w:val="2"/>
        </w:numPr>
        <w:spacing w:after="70" w:line="268"/>
      </w:pPr>
      <w:r>
        <w:rPr>
          <w:rFonts w:ascii="Calibri" w:cs="Calibri" w:eastAsia="Calibri" w:hAnsi="Calibri"/>
          <w:b/>
          <w:bCs/>
          <w:color w:val="0B2C4D"/>
          <w:sz w:val="21"/>
          <w:szCs w:val="21"/>
        </w:rPr>
        <w:t xml:space="preserve">Assessment and certification</w:t>
      </w:r>
      <w:r>
        <w:rPr>
          <w:rFonts w:ascii="Calibri" w:cs="Calibri" w:eastAsia="Calibri" w:hAnsi="Calibri"/>
          <w:color w:val="1F2A33"/>
          <w:sz w:val="21"/>
          <w:szCs w:val="21"/>
        </w:rPr>
        <w:t xml:space="preserve"> — short assessments per module; certification unlocks pre-approved access tiers for that asset class, which turns learning into a concrete access benefit.</w:t>
      </w:r>
    </w:p>
    <w:p>
      <w:pPr>
        <w:pStyle w:val="ListParagraph"/>
        <w:numPr>
          <w:ilvl w:val="0"/>
          <w:numId w:val="2"/>
        </w:numPr>
        <w:spacing w:after="70" w:line="268"/>
      </w:pPr>
      <w:r>
        <w:rPr>
          <w:rFonts w:ascii="Calibri" w:cs="Calibri" w:eastAsia="Calibri" w:hAnsi="Calibri"/>
          <w:b/>
          <w:bCs/>
          <w:color w:val="0B2C4D"/>
          <w:sz w:val="21"/>
          <w:szCs w:val="21"/>
        </w:rPr>
        <w:t xml:space="preserve">Glossary integration</w:t>
      </w:r>
      <w:r>
        <w:rPr>
          <w:rFonts w:ascii="Calibri" w:cs="Calibri" w:eastAsia="Calibri" w:hAnsi="Calibri"/>
          <w:color w:val="1F2A33"/>
          <w:sz w:val="21"/>
          <w:szCs w:val="21"/>
        </w:rPr>
        <w:t xml:space="preserve"> — every certified KPI and business term has an academy card explaining it in plain language, reachable from any place the term appears.</w:t>
      </w:r>
    </w:p>
    <w:p>
      <w:pPr>
        <w:pStyle w:val="ListParagraph"/>
        <w:numPr>
          <w:ilvl w:val="0"/>
          <w:numId w:val="2"/>
        </w:numPr>
        <w:spacing w:after="70" w:line="268"/>
      </w:pPr>
      <w:r>
        <w:rPr>
          <w:rFonts w:ascii="Calibri" w:cs="Calibri" w:eastAsia="Calibri" w:hAnsi="Calibri"/>
          <w:b/>
          <w:bCs/>
          <w:color w:val="0B2C4D"/>
          <w:sz w:val="21"/>
          <w:szCs w:val="21"/>
        </w:rPr>
        <w:t xml:space="preserve">Owner enablement</w:t>
      </w:r>
      <w:r>
        <w:rPr>
          <w:rFonts w:ascii="Calibri" w:cs="Calibri" w:eastAsia="Calibri" w:hAnsi="Calibri"/>
          <w:color w:val="1F2A33"/>
          <w:sz w:val="21"/>
          <w:szCs w:val="21"/>
        </w:rPr>
        <w:t xml:space="preserve"> — templates for contracts, quality rule sets, coverage maps, demo exchange sets and value cases, all pre-populated with worked examples from the seed catalog.</w:t>
      </w:r>
    </w:p>
    <w:p>
      <w:pPr>
        <w:pStyle w:val="ListParagraph"/>
        <w:numPr>
          <w:ilvl w:val="0"/>
          <w:numId w:val="2"/>
        </w:numPr>
        <w:spacing w:after="70" w:line="268"/>
      </w:pPr>
      <w:r>
        <w:rPr>
          <w:rFonts w:ascii="Calibri" w:cs="Calibri" w:eastAsia="Calibri" w:hAnsi="Calibri"/>
          <w:b/>
          <w:bCs/>
          <w:color w:val="0B2C4D"/>
          <w:sz w:val="21"/>
          <w:szCs w:val="21"/>
        </w:rPr>
        <w:t xml:space="preserve">Progress and analytics</w:t>
      </w:r>
      <w:r>
        <w:rPr>
          <w:rFonts w:ascii="Calibri" w:cs="Calibri" w:eastAsia="Calibri" w:hAnsi="Calibri"/>
          <w:color w:val="1F2A33"/>
          <w:sz w:val="21"/>
          <w:szCs w:val="21"/>
        </w:rPr>
        <w:t xml:space="preserve"> — per-user progress, per-team completion, and correlation of certification with adoption, which is how the academy earns its own budget.</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21. Canonical Data Model &amp; Physical Schema</w:t>
      </w:r>
    </w:p>
    <w:p>
      <w:pPr>
        <w:spacing w:after="120" w:line="276"/>
        <w:jc w:val="left"/>
      </w:pPr>
      <w:r>
        <w:rPr>
          <w:rFonts w:ascii="Calibri" w:cs="Calibri" w:eastAsia="Calibri" w:hAnsi="Calibri"/>
          <w:b w:val="false"/>
          <w:bCs w:val="false"/>
          <w:i w:val="false"/>
          <w:iCs w:val="false"/>
          <w:color w:val="1F2A33"/>
          <w:sz w:val="21"/>
          <w:szCs w:val="21"/>
        </w:rPr>
        <w:t xml:space="preserve">The canonical model is the contract between every module in the product. Modules exchange these entities and nothing else; a module that needs a new attribute extends the canonical model rather than passing an untyped payload.</w:t>
      </w:r>
    </w:p>
    <w:p>
      <w:pPr>
        <w:pStyle w:val="Heading2"/>
        <w:spacing w:after="120" w:before="280"/>
      </w:pPr>
      <w:r>
        <w:rPr>
          <w:rFonts w:ascii="Calibri" w:cs="Calibri" w:eastAsia="Calibri" w:hAnsi="Calibri"/>
          <w:b/>
          <w:bCs/>
          <w:color w:val="117A8B"/>
          <w:sz w:val="25"/>
          <w:szCs w:val="25"/>
        </w:rPr>
        <w:t xml:space="preserve">21.1 Entity Groups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915"/>
        <w:gridCol w:w="8165"/>
      </w:tblGrid>
      <w:tr>
        <w:trPr>
          <w:tblHeader/>
        </w:trPr>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Group</w:t>
            </w:r>
          </w:p>
        </w:tc>
        <w:tc>
          <w:tcPr>
            <w:tcW w:type="dxa" w:w="816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Entities</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Reference</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tenant · industry · business_domain · product_archetype · sensitivity_tier · purpose_category · source_system</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Identity</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party (person, team, service, agent identity) · org_unit · role_assignment</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Supply — data</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data_product · data_product_version · data_product_column · data_contract_version · endpoint · kpi_definition · glossary_term</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Supply — agents</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 · agent_version · agent_kpi_coverage · agent_product_binding · agent_tool_binding · demo_exchange · evaluation_case</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Quality</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quality_rule · quality_result · quality_score_snapshot · incident · incident_impact</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Lineage &amp; mesh</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lineage_edge · mesh_edge_data · mesh_edge_agent</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Demand &amp; workflow</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request · request_item · approval_step · decision · demand_vote · demand_theme · enhancement</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Entitlement</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entitlement_grant · grant_scope · purpose_binding · revocation</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Telemetry</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usage_event · usage_daily_agg · agent_interaction · answer_feedback · cost_allocation</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Value</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value_case · value_assumption · value_measurement</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Governance config</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rubric · rubric_version · rubric_criterion · policy · policy_version</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Academy</w:t>
            </w:r>
          </w:p>
        </w:tc>
        <w:tc>
          <w:tcPr>
            <w:tcW w:type="dxa" w:w="81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academy_module · learning_path · enrollment · assessment_result · certification</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Audit</w:t>
            </w:r>
          </w:p>
        </w:tc>
        <w:tc>
          <w:tcPr>
            <w:tcW w:type="dxa" w:w="81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audit_event · publication_snapshot</w:t>
            </w:r>
          </w:p>
        </w:tc>
      </w:tr>
    </w:tbl>
    <w:p>
      <w:pPr>
        <w:pStyle w:val="Heading2"/>
        <w:spacing w:after="120" w:before="280"/>
      </w:pPr>
      <w:r>
        <w:rPr>
          <w:rFonts w:ascii="Calibri" w:cs="Calibri" w:eastAsia="Calibri" w:hAnsi="Calibri"/>
          <w:b/>
          <w:bCs/>
          <w:color w:val="117A8B"/>
          <w:sz w:val="25"/>
          <w:szCs w:val="25"/>
        </w:rPr>
        <w:t xml:space="preserve">21.2 Core Relationships</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data_product 1──* data_product_version 1──* data_product_column</w:t>
            </w:r>
          </w:p>
          <w:p>
            <w:pPr>
              <w:spacing w:after="0" w:line="240"/>
            </w:pPr>
            <w:r>
              <w:rPr>
                <w:rFonts w:ascii="Consolas" w:cs="Consolas" w:eastAsia="Consolas" w:hAnsi="Consolas"/>
                <w:color w:val="16323F"/>
                <w:sz w:val="16"/>
                <w:szCs w:val="16"/>
              </w:rPr>
              <w:t xml:space="preserve">data_product_version 1──1 data_contract_version 1──* guarantee</w:t>
            </w:r>
          </w:p>
          <w:p>
            <w:pPr>
              <w:spacing w:after="0" w:line="240"/>
            </w:pPr>
            <w:r>
              <w:rPr>
                <w:rFonts w:ascii="Consolas" w:cs="Consolas" w:eastAsia="Consolas" w:hAnsi="Consolas"/>
                <w:color w:val="16323F"/>
                <w:sz w:val="16"/>
                <w:szCs w:val="16"/>
              </w:rPr>
              <w:t xml:space="preserve">data_product_version *──* kpi_definition            (product serves KPI)</w:t>
            </w:r>
          </w:p>
          <w:p>
            <w:pPr>
              <w:spacing w:after="0" w:line="240"/>
            </w:pPr>
            <w:r>
              <w:rPr>
                <w:rFonts w:ascii="Consolas" w:cs="Consolas" w:eastAsia="Consolas" w:hAnsi="Consolas"/>
                <w:color w:val="16323F"/>
                <w:sz w:val="16"/>
                <w:szCs w:val="16"/>
              </w:rPr>
              <w:t xml:space="preserve">data_product_version 1──* endpoint                  (sql | rest | mcp | stream | file)</w:t>
            </w:r>
          </w:p>
          <w:p>
            <w:pPr>
              <w:spacing w:after="0" w:line="240"/>
            </w:pPr>
            <w:r>
              <w:rPr>
                <w:rFonts w:ascii="Consolas" w:cs="Consolas" w:eastAsia="Consolas" w:hAnsi="Consolas"/>
                <w:color w:val="16323F"/>
                <w:sz w:val="16"/>
                <w:szCs w:val="16"/>
              </w:rPr>
              <w:t xml:space="preserve">data_product      *──* source_system                (via lineage_edge, transitive)</w:t>
            </w:r>
          </w:p>
          <w:p>
            <w:pPr>
              <w:spacing w:after="0" w:line="240"/>
            </w:pPr>
            <w:r>
              <w:rPr>
                <w:rFonts w:ascii="Consolas" w:cs="Consolas" w:eastAsia="Consolas" w:hAnsi="Consolas"/>
                <w:color w:val="16323F"/>
                <w:sz w:val="16"/>
                <w:szCs w:val="16"/>
              </w:rPr>
              <w:t xml:space="preserve">data_product      *──* data_product   [mesh_edge_data: type, strength, confidence]</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agent 1──* agent_version</w:t>
            </w:r>
          </w:p>
          <w:p>
            <w:pPr>
              <w:spacing w:after="0" w:line="240"/>
            </w:pPr>
            <w:r>
              <w:rPr>
                <w:rFonts w:ascii="Consolas" w:cs="Consolas" w:eastAsia="Consolas" w:hAnsi="Consolas"/>
                <w:color w:val="16323F"/>
                <w:sz w:val="16"/>
                <w:szCs w:val="16"/>
              </w:rPr>
              <w:t xml:space="preserve">agent_version *──* data_product_version  [agent_product_binding: columns, tools, scope]</w:t>
            </w:r>
          </w:p>
          <w:p>
            <w:pPr>
              <w:spacing w:after="0" w:line="240"/>
            </w:pPr>
            <w:r>
              <w:rPr>
                <w:rFonts w:ascii="Consolas" w:cs="Consolas" w:eastAsia="Consolas" w:hAnsi="Consolas"/>
                <w:color w:val="16323F"/>
                <w:sz w:val="16"/>
                <w:szCs w:val="16"/>
              </w:rPr>
              <w:t xml:space="preserve">agent_version 1──* agent_kpi_coverage    ──1 kpi_definition   (must cite a definition)</w:t>
            </w:r>
          </w:p>
          <w:p>
            <w:pPr>
              <w:spacing w:after="0" w:line="240"/>
            </w:pPr>
            <w:r>
              <w:rPr>
                <w:rFonts w:ascii="Consolas" w:cs="Consolas" w:eastAsia="Consolas" w:hAnsi="Consolas"/>
                <w:color w:val="16323F"/>
                <w:sz w:val="16"/>
                <w:szCs w:val="16"/>
              </w:rPr>
              <w:t xml:space="preserve">agent_version 1──* agent_tool_binding    ──1 endpoint(mcp)</w:t>
            </w:r>
          </w:p>
          <w:p>
            <w:pPr>
              <w:spacing w:after="0" w:line="240"/>
            </w:pPr>
            <w:r>
              <w:rPr>
                <w:rFonts w:ascii="Consolas" w:cs="Consolas" w:eastAsia="Consolas" w:hAnsi="Consolas"/>
                <w:color w:val="16323F"/>
                <w:sz w:val="16"/>
                <w:szCs w:val="16"/>
              </w:rPr>
              <w:t xml:space="preserve">agent_version 1──* demo_exchange         (&gt;= 5 enforced at publish)</w:t>
            </w:r>
          </w:p>
          <w:p>
            <w:pPr>
              <w:spacing w:after="0" w:line="240"/>
            </w:pPr>
            <w:r>
              <w:rPr>
                <w:rFonts w:ascii="Consolas" w:cs="Consolas" w:eastAsia="Consolas" w:hAnsi="Consolas"/>
                <w:color w:val="16323F"/>
                <w:sz w:val="16"/>
                <w:szCs w:val="16"/>
              </w:rPr>
              <w:t xml:space="preserve">agent_version 1──* evaluation_case</w:t>
            </w:r>
          </w:p>
          <w:p>
            <w:pPr>
              <w:spacing w:after="0" w:line="240"/>
            </w:pPr>
            <w:r>
              <w:rPr>
                <w:rFonts w:ascii="Consolas" w:cs="Consolas" w:eastAsia="Consolas" w:hAnsi="Consolas"/>
                <w:color w:val="16323F"/>
                <w:sz w:val="16"/>
                <w:szCs w:val="16"/>
              </w:rPr>
              <w:t xml:space="preserve">agent         *──* agent  [mesh_edge_agent: type, strength, confidence]</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request 1──* request_item ──* {data_product | agent}</w:t>
            </w:r>
          </w:p>
          <w:p>
            <w:pPr>
              <w:spacing w:after="0" w:line="240"/>
            </w:pPr>
            <w:r>
              <w:rPr>
                <w:rFonts w:ascii="Consolas" w:cs="Consolas" w:eastAsia="Consolas" w:hAnsi="Consolas"/>
                <w:color w:val="16323F"/>
                <w:sz w:val="16"/>
                <w:szCs w:val="16"/>
              </w:rPr>
              <w:t xml:space="preserve">request 1──* approval_step 1──1 decision</w:t>
            </w:r>
          </w:p>
          <w:p>
            <w:pPr>
              <w:spacing w:after="0" w:line="240"/>
            </w:pPr>
            <w:r>
              <w:rPr>
                <w:rFonts w:ascii="Consolas" w:cs="Consolas" w:eastAsia="Consolas" w:hAnsi="Consolas"/>
                <w:color w:val="16323F"/>
                <w:sz w:val="16"/>
                <w:szCs w:val="16"/>
              </w:rPr>
              <w:t xml:space="preserve">request 1──? entitlement_grant 1──* grant_scope, 1──1 purpose_binding</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kpi_definition  1──1 owner(party)   -- exactly one active definition per KPI name per tenant</w:t>
            </w:r>
          </w:p>
          <w:p>
            <w:pPr>
              <w:spacing w:after="0" w:line="240"/>
            </w:pPr>
            <w:r>
              <w:rPr>
                <w:rFonts w:ascii="Consolas" w:cs="Consolas" w:eastAsia="Consolas" w:hAnsi="Consolas"/>
                <w:color w:val="16323F"/>
                <w:sz w:val="16"/>
                <w:szCs w:val="16"/>
              </w:rPr>
              <w:t xml:space="preserve">value_case      1──* value_assumption, 1──* value_measurement</w:t>
            </w:r>
          </w:p>
          <w:p>
            <w:pPr>
              <w:spacing w:after="0" w:line="240"/>
            </w:pPr>
            <w:r>
              <w:rPr>
                <w:rFonts w:ascii="Consolas" w:cs="Consolas" w:eastAsia="Consolas" w:hAnsi="Consolas"/>
                <w:color w:val="16323F"/>
                <w:sz w:val="16"/>
                <w:szCs w:val="16"/>
              </w:rPr>
              <w:t xml:space="preserve">rubric 1──* rubric_version 1──* rubric_criterion   -- all weights &amp; thresholds live here</w:t>
            </w:r>
          </w:p>
        </w:tc>
      </w:tr>
    </w:tbl>
    <w:p>
      <w:pPr>
        <w:pStyle w:val="Heading2"/>
        <w:spacing w:after="120" w:before="280"/>
      </w:pPr>
      <w:r>
        <w:rPr>
          <w:rFonts w:ascii="Calibri" w:cs="Calibri" w:eastAsia="Calibri" w:hAnsi="Calibri"/>
          <w:b/>
          <w:bCs/>
          <w:color w:val="117A8B"/>
          <w:sz w:val="25"/>
          <w:szCs w:val="25"/>
        </w:rPr>
        <w:t xml:space="preserve">21.3 Selected Physical Schema</w:t>
      </w:r>
    </w:p>
    <w:p>
      <w:pPr>
        <w:spacing w:after="120" w:line="276"/>
        <w:jc w:val="left"/>
      </w:pPr>
      <w:r>
        <w:rPr>
          <w:rFonts w:ascii="Calibri" w:cs="Calibri" w:eastAsia="Calibri" w:hAnsi="Calibri"/>
          <w:b w:val="false"/>
          <w:bCs w:val="false"/>
          <w:i w:val="false"/>
          <w:iCs w:val="false"/>
          <w:color w:val="1F2A33"/>
          <w:sz w:val="21"/>
          <w:szCs w:val="21"/>
        </w:rPr>
        <w:t xml:space="preserve">Illustrative DDL for the entities most likely to be misimplemented. Full DDL is generated from the canonical model definition file at build time.</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val="false"/>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CREATE TABLE data_product (</w:t>
            </w:r>
          </w:p>
          <w:p>
            <w:pPr>
              <w:spacing w:after="0" w:line="240"/>
            </w:pPr>
            <w:r>
              <w:rPr>
                <w:rFonts w:ascii="Consolas" w:cs="Consolas" w:eastAsia="Consolas" w:hAnsi="Consolas"/>
                <w:color w:val="16323F"/>
                <w:sz w:val="16"/>
                <w:szCs w:val="16"/>
              </w:rPr>
              <w:t xml:space="preserve">  product_id        VARCHAR PRIMARY KEY,        -- DP-&lt;IND&gt;-&lt;NNN&gt;</w:t>
            </w:r>
          </w:p>
          <w:p>
            <w:pPr>
              <w:spacing w:after="0" w:line="240"/>
            </w:pPr>
            <w:r>
              <w:rPr>
                <w:rFonts w:ascii="Consolas" w:cs="Consolas" w:eastAsia="Consolas" w:hAnsi="Consolas"/>
                <w:color w:val="16323F"/>
                <w:sz w:val="16"/>
                <w:szCs w:val="16"/>
              </w:rPr>
              <w:t xml:space="preserve">  tenant_id         VARCHAR NOT NULL,</w:t>
            </w:r>
          </w:p>
          <w:p>
            <w:pPr>
              <w:spacing w:after="0" w:line="240"/>
            </w:pPr>
            <w:r>
              <w:rPr>
                <w:rFonts w:ascii="Consolas" w:cs="Consolas" w:eastAsia="Consolas" w:hAnsi="Consolas"/>
                <w:color w:val="16323F"/>
                <w:sz w:val="16"/>
                <w:szCs w:val="16"/>
              </w:rPr>
              <w:t xml:space="preserve">  name              VARCHAR NOT NULL,</w:t>
            </w:r>
          </w:p>
          <w:p>
            <w:pPr>
              <w:spacing w:after="0" w:line="240"/>
            </w:pPr>
            <w:r>
              <w:rPr>
                <w:rFonts w:ascii="Consolas" w:cs="Consolas" w:eastAsia="Consolas" w:hAnsi="Consolas"/>
                <w:color w:val="16323F"/>
                <w:sz w:val="16"/>
                <w:szCs w:val="16"/>
              </w:rPr>
              <w:t xml:space="preserve">  purpose           VARCHAR NOT NULL,           -- rendered on the card, &lt;= 400 chars</w:t>
            </w:r>
          </w:p>
          <w:p>
            <w:pPr>
              <w:spacing w:after="0" w:line="240"/>
            </w:pPr>
            <w:r>
              <w:rPr>
                <w:rFonts w:ascii="Consolas" w:cs="Consolas" w:eastAsia="Consolas" w:hAnsi="Consolas"/>
                <w:color w:val="16323F"/>
                <w:sz w:val="16"/>
                <w:szCs w:val="16"/>
              </w:rPr>
              <w:t xml:space="preserve">  industry_code     VARCHAR NOT NULL REFERENCES industry(code),</w:t>
            </w:r>
          </w:p>
          <w:p>
            <w:pPr>
              <w:spacing w:after="0" w:line="240"/>
            </w:pPr>
            <w:r>
              <w:rPr>
                <w:rFonts w:ascii="Consolas" w:cs="Consolas" w:eastAsia="Consolas" w:hAnsi="Consolas"/>
                <w:color w:val="16323F"/>
                <w:sz w:val="16"/>
                <w:szCs w:val="16"/>
              </w:rPr>
              <w:t xml:space="preserve">  domain_code       VARCHAR NOT NULL REFERENCES business_domain(code),</w:t>
            </w:r>
          </w:p>
          <w:p>
            <w:pPr>
              <w:spacing w:after="0" w:line="240"/>
            </w:pPr>
            <w:r>
              <w:rPr>
                <w:rFonts w:ascii="Consolas" w:cs="Consolas" w:eastAsia="Consolas" w:hAnsi="Consolas"/>
                <w:color w:val="16323F"/>
                <w:sz w:val="16"/>
                <w:szCs w:val="16"/>
              </w:rPr>
              <w:t xml:space="preserve">  archetype_code    VARCHAR NOT NULL,</w:t>
            </w:r>
          </w:p>
          <w:p>
            <w:pPr>
              <w:spacing w:after="0" w:line="240"/>
            </w:pPr>
            <w:r>
              <w:rPr>
                <w:rFonts w:ascii="Consolas" w:cs="Consolas" w:eastAsia="Consolas" w:hAnsi="Consolas"/>
                <w:color w:val="16323F"/>
                <w:sz w:val="16"/>
                <w:szCs w:val="16"/>
              </w:rPr>
              <w:t xml:space="preserve">  sensitivity_tier  VARCHAR NOT NULL,           -- derived: max over columns; not editable here</w:t>
            </w:r>
          </w:p>
          <w:p>
            <w:pPr>
              <w:spacing w:after="0" w:line="240"/>
            </w:pPr>
            <w:r>
              <w:rPr>
                <w:rFonts w:ascii="Consolas" w:cs="Consolas" w:eastAsia="Consolas" w:hAnsi="Consolas"/>
                <w:color w:val="16323F"/>
                <w:sz w:val="16"/>
                <w:szCs w:val="16"/>
              </w:rPr>
              <w:t xml:space="preserve">  certification     VARCHAR NOT NULL,           -- certified|published|beta|deprecated</w:t>
            </w:r>
          </w:p>
          <w:p>
            <w:pPr>
              <w:spacing w:after="0" w:line="240"/>
            </w:pPr>
            <w:r>
              <w:rPr>
                <w:rFonts w:ascii="Consolas" w:cs="Consolas" w:eastAsia="Consolas" w:hAnsi="Consolas"/>
                <w:color w:val="16323F"/>
                <w:sz w:val="16"/>
                <w:szCs w:val="16"/>
              </w:rPr>
              <w:t xml:space="preserve">  owner_party_id    VARCHAR NOT NULL,</w:t>
            </w:r>
          </w:p>
          <w:p>
            <w:pPr>
              <w:spacing w:after="0" w:line="240"/>
            </w:pPr>
            <w:r>
              <w:rPr>
                <w:rFonts w:ascii="Consolas" w:cs="Consolas" w:eastAsia="Consolas" w:hAnsi="Consolas"/>
                <w:color w:val="16323F"/>
                <w:sz w:val="16"/>
                <w:szCs w:val="16"/>
              </w:rPr>
              <w:t xml:space="preserve">  current_version   VARCHAR NOT NULL,</w:t>
            </w:r>
          </w:p>
          <w:p>
            <w:pPr>
              <w:spacing w:after="0" w:line="240"/>
            </w:pPr>
            <w:r>
              <w:rPr>
                <w:rFonts w:ascii="Consolas" w:cs="Consolas" w:eastAsia="Consolas" w:hAnsi="Consolas"/>
                <w:color w:val="16323F"/>
                <w:sz w:val="16"/>
                <w:szCs w:val="16"/>
              </w:rPr>
              <w:t xml:space="preserve">  known_limitations VARCHAR NOT NULL,           -- publish blocked while empty</w:t>
            </w:r>
          </w:p>
          <w:p>
            <w:pPr>
              <w:spacing w:after="0" w:line="240"/>
            </w:pPr>
            <w:r>
              <w:rPr>
                <w:rFonts w:ascii="Consolas" w:cs="Consolas" w:eastAsia="Consolas" w:hAnsi="Consolas"/>
                <w:color w:val="16323F"/>
                <w:sz w:val="16"/>
                <w:szCs w:val="16"/>
              </w:rPr>
              <w:t xml:space="preserve">  created_at TIMESTAMP_NTZ, updated_at TIMESTAMP_NTZ</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CREATE TABLE quality_score_snapshot (</w:t>
            </w:r>
          </w:p>
          <w:p>
            <w:pPr>
              <w:spacing w:after="0" w:line="240"/>
            </w:pPr>
            <w:r>
              <w:rPr>
                <w:rFonts w:ascii="Consolas" w:cs="Consolas" w:eastAsia="Consolas" w:hAnsi="Consolas"/>
                <w:color w:val="16323F"/>
                <w:sz w:val="16"/>
                <w:szCs w:val="16"/>
              </w:rPr>
              <w:t xml:space="preserve">  snapshot_id     VARCHAR PRIMARY KEY,</w:t>
            </w:r>
          </w:p>
          <w:p>
            <w:pPr>
              <w:spacing w:after="0" w:line="240"/>
            </w:pPr>
            <w:r>
              <w:rPr>
                <w:rFonts w:ascii="Consolas" w:cs="Consolas" w:eastAsia="Consolas" w:hAnsi="Consolas"/>
                <w:color w:val="16323F"/>
                <w:sz w:val="16"/>
                <w:szCs w:val="16"/>
              </w:rPr>
              <w:t xml:space="preserve">  product_id      VARCHAR NOT NULL,</w:t>
            </w:r>
          </w:p>
          <w:p>
            <w:pPr>
              <w:spacing w:after="0" w:line="240"/>
            </w:pPr>
            <w:r>
              <w:rPr>
                <w:rFonts w:ascii="Consolas" w:cs="Consolas" w:eastAsia="Consolas" w:hAnsi="Consolas"/>
                <w:color w:val="16323F"/>
                <w:sz w:val="16"/>
                <w:szCs w:val="16"/>
              </w:rPr>
              <w:t xml:space="preserve">  rubric_version  VARCHAR NOT NULL,             -- score is meaningless without it</w:t>
            </w:r>
          </w:p>
          <w:p>
            <w:pPr>
              <w:spacing w:after="0" w:line="240"/>
            </w:pPr>
            <w:r>
              <w:rPr>
                <w:rFonts w:ascii="Consolas" w:cs="Consolas" w:eastAsia="Consolas" w:hAnsi="Consolas"/>
                <w:color w:val="16323F"/>
                <w:sz w:val="16"/>
                <w:szCs w:val="16"/>
              </w:rPr>
              <w:t xml:space="preserve">  composite       NUMBER(5,2) NOT NULL,</w:t>
            </w:r>
          </w:p>
          <w:p>
            <w:pPr>
              <w:spacing w:after="0" w:line="240"/>
            </w:pPr>
            <w:r>
              <w:rPr>
                <w:rFonts w:ascii="Consolas" w:cs="Consolas" w:eastAsia="Consolas" w:hAnsi="Consolas"/>
                <w:color w:val="16323F"/>
                <w:sz w:val="16"/>
                <w:szCs w:val="16"/>
              </w:rPr>
              <w:t xml:space="preserve">  completeness NUMBER(5,2), accuracy NUMBER(5,2), freshness NUMBER(5,2),</w:t>
            </w:r>
          </w:p>
          <w:p>
            <w:pPr>
              <w:spacing w:after="0" w:line="240"/>
            </w:pPr>
            <w:r>
              <w:rPr>
                <w:rFonts w:ascii="Consolas" w:cs="Consolas" w:eastAsia="Consolas" w:hAnsi="Consolas"/>
                <w:color w:val="16323F"/>
                <w:sz w:val="16"/>
                <w:szCs w:val="16"/>
              </w:rPr>
              <w:t xml:space="preserve">  consistency  NUMBER(5,2), validity NUMBER(5,2), uniqueness NUMBER(5,2),</w:t>
            </w:r>
          </w:p>
          <w:p>
            <w:pPr>
              <w:spacing w:after="0" w:line="240"/>
            </w:pPr>
            <w:r>
              <w:rPr>
                <w:rFonts w:ascii="Consolas" w:cs="Consolas" w:eastAsia="Consolas" w:hAnsi="Consolas"/>
                <w:color w:val="16323F"/>
                <w:sz w:val="16"/>
                <w:szCs w:val="16"/>
              </w:rPr>
              <w:t xml:space="preserve">  band            VARCHAR NOT NULL,             -- from rubric bands, not code</w:t>
            </w:r>
          </w:p>
          <w:p>
            <w:pPr>
              <w:spacing w:after="0" w:line="240"/>
            </w:pPr>
            <w:r>
              <w:rPr>
                <w:rFonts w:ascii="Consolas" w:cs="Consolas" w:eastAsia="Consolas" w:hAnsi="Consolas"/>
                <w:color w:val="16323F"/>
                <w:sz w:val="16"/>
                <w:szCs w:val="16"/>
              </w:rPr>
              <w:t xml:space="preserve">  evidence_ref    VARIANT NOT NULL,             -- rule_ids + results that produced it</w:t>
            </w:r>
          </w:p>
          <w:p>
            <w:pPr>
              <w:spacing w:after="0" w:line="240"/>
            </w:pPr>
            <w:r>
              <w:rPr>
                <w:rFonts w:ascii="Consolas" w:cs="Consolas" w:eastAsia="Consolas" w:hAnsi="Consolas"/>
                <w:color w:val="16323F"/>
                <w:sz w:val="16"/>
                <w:szCs w:val="16"/>
              </w:rPr>
              <w:t xml:space="preserve">  computed_at     TIMESTAMP_NTZ NOT NULL</w:t>
            </w:r>
          </w:p>
          <w:p>
            <w:pPr>
              <w:spacing w:after="0" w:line="240"/>
            </w:pPr>
            <w:r>
              <w:rPr>
                <w:rFonts w:ascii="Consolas" w:cs="Consolas" w:eastAsia="Consolas" w:hAnsi="Consolas"/>
                <w:color w:val="16323F"/>
                <w:sz w:val="16"/>
                <w:szCs w:val="16"/>
              </w:rPr>
              <w:t xml:space="preserve">);  -- immutable; never updated in place</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CREATE TABLE agent_kpi_coverage (</w:t>
            </w:r>
          </w:p>
          <w:p>
            <w:pPr>
              <w:spacing w:after="0" w:line="240"/>
            </w:pPr>
            <w:r>
              <w:rPr>
                <w:rFonts w:ascii="Consolas" w:cs="Consolas" w:eastAsia="Consolas" w:hAnsi="Consolas"/>
                <w:color w:val="16323F"/>
                <w:sz w:val="16"/>
                <w:szCs w:val="16"/>
              </w:rPr>
              <w:t xml:space="preserve">  coverage_id     VARCHAR PRIMARY KEY,</w:t>
            </w:r>
          </w:p>
          <w:p>
            <w:pPr>
              <w:spacing w:after="0" w:line="240"/>
            </w:pPr>
            <w:r>
              <w:rPr>
                <w:rFonts w:ascii="Consolas" w:cs="Consolas" w:eastAsia="Consolas" w:hAnsi="Consolas"/>
                <w:color w:val="16323F"/>
                <w:sz w:val="16"/>
                <w:szCs w:val="16"/>
              </w:rPr>
              <w:t xml:space="preserve">  agent_version_id VARCHAR NOT NULL,</w:t>
            </w:r>
          </w:p>
          <w:p>
            <w:pPr>
              <w:spacing w:after="0" w:line="240"/>
            </w:pPr>
            <w:r>
              <w:rPr>
                <w:rFonts w:ascii="Consolas" w:cs="Consolas" w:eastAsia="Consolas" w:hAnsi="Consolas"/>
                <w:color w:val="16323F"/>
                <w:sz w:val="16"/>
                <w:szCs w:val="16"/>
              </w:rPr>
              <w:t xml:space="preserve">  kpi_id          VARCHAR NOT NULL REFERENCES kpi_definition(kpi_id),</w:t>
            </w:r>
          </w:p>
          <w:p>
            <w:pPr>
              <w:spacing w:after="0" w:line="240"/>
            </w:pPr>
            <w:r>
              <w:rPr>
                <w:rFonts w:ascii="Consolas" w:cs="Consolas" w:eastAsia="Consolas" w:hAnsi="Consolas"/>
                <w:color w:val="16323F"/>
                <w:sz w:val="16"/>
                <w:szCs w:val="16"/>
              </w:rPr>
              <w:t xml:space="preserve">  source_product_id VARCHAR NOT NULL,</w:t>
            </w:r>
          </w:p>
          <w:p>
            <w:pPr>
              <w:spacing w:after="0" w:line="240"/>
            </w:pPr>
            <w:r>
              <w:rPr>
                <w:rFonts w:ascii="Consolas" w:cs="Consolas" w:eastAsia="Consolas" w:hAnsi="Consolas"/>
                <w:color w:val="16323F"/>
                <w:sz w:val="16"/>
                <w:szCs w:val="16"/>
              </w:rPr>
              <w:t xml:space="preserve">  supported_grains  ARRAY,          -- [day, week, month, quarter]</w:t>
            </w:r>
          </w:p>
          <w:p>
            <w:pPr>
              <w:spacing w:after="0" w:line="240"/>
            </w:pPr>
            <w:r>
              <w:rPr>
                <w:rFonts w:ascii="Consolas" w:cs="Consolas" w:eastAsia="Consolas" w:hAnsi="Consolas"/>
                <w:color w:val="16323F"/>
                <w:sz w:val="16"/>
                <w:szCs w:val="16"/>
              </w:rPr>
              <w:t xml:space="preserve">  supported_slices  ARRAY,          -- [segment, region, channel, ...]</w:t>
            </w:r>
          </w:p>
          <w:p>
            <w:pPr>
              <w:spacing w:after="0" w:line="240"/>
            </w:pPr>
            <w:r>
              <w:rPr>
                <w:rFonts w:ascii="Consolas" w:cs="Consolas" w:eastAsia="Consolas" w:hAnsi="Consolas"/>
                <w:color w:val="16323F"/>
                <w:sz w:val="16"/>
                <w:szCs w:val="16"/>
              </w:rPr>
              <w:t xml:space="preserve">  analysis_depth    VARCHAR,        -- report|compare|explain|rank_drivers|forecast</w:t>
            </w:r>
          </w:p>
          <w:p>
            <w:pPr>
              <w:spacing w:after="0" w:line="240"/>
            </w:pPr>
            <w:r>
              <w:rPr>
                <w:rFonts w:ascii="Consolas" w:cs="Consolas" w:eastAsia="Consolas" w:hAnsi="Consolas"/>
                <w:color w:val="16323F"/>
                <w:sz w:val="16"/>
                <w:szCs w:val="16"/>
              </w:rPr>
              <w:t xml:space="preserve">  eval_accuracy     NUMBER(5,2),</w:t>
            </w:r>
          </w:p>
          <w:p>
            <w:pPr>
              <w:spacing w:after="0" w:line="240"/>
            </w:pPr>
            <w:r>
              <w:rPr>
                <w:rFonts w:ascii="Consolas" w:cs="Consolas" w:eastAsia="Consolas" w:hAnsi="Consolas"/>
                <w:color w:val="16323F"/>
                <w:sz w:val="16"/>
                <w:szCs w:val="16"/>
              </w:rPr>
              <w:t xml:space="preserve">  eval_sample_size  NUMBER,</w:t>
            </w:r>
          </w:p>
          <w:p>
            <w:pPr>
              <w:spacing w:after="0" w:line="240"/>
            </w:pPr>
            <w:r>
              <w:rPr>
                <w:rFonts w:ascii="Consolas" w:cs="Consolas" w:eastAsia="Consolas" w:hAnsi="Consolas"/>
                <w:color w:val="16323F"/>
                <w:sz w:val="16"/>
                <w:szCs w:val="16"/>
              </w:rPr>
              <w:t xml:space="preserve">  UNIQUE (agent_version_id, kpi_id)</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CREATE TABLE mesh_edge_data (</w:t>
            </w:r>
          </w:p>
          <w:p>
            <w:pPr>
              <w:spacing w:after="0" w:line="240"/>
            </w:pPr>
            <w:r>
              <w:rPr>
                <w:rFonts w:ascii="Consolas" w:cs="Consolas" w:eastAsia="Consolas" w:hAnsi="Consolas"/>
                <w:color w:val="16323F"/>
                <w:sz w:val="16"/>
                <w:szCs w:val="16"/>
              </w:rPr>
              <w:t xml:space="preserve">  edge_id     VARCHAR PRIMARY KEY,</w:t>
            </w:r>
          </w:p>
          <w:p>
            <w:pPr>
              <w:spacing w:after="0" w:line="240"/>
            </w:pPr>
            <w:r>
              <w:rPr>
                <w:rFonts w:ascii="Consolas" w:cs="Consolas" w:eastAsia="Consolas" w:hAnsi="Consolas"/>
                <w:color w:val="16323F"/>
                <w:sz w:val="16"/>
                <w:szCs w:val="16"/>
              </w:rPr>
              <w:t xml:space="preserve">  product_a   VARCHAR NOT NULL, product_b VARCHAR NOT NULL,</w:t>
            </w:r>
          </w:p>
          <w:p>
            <w:pPr>
              <w:spacing w:after="0" w:line="240"/>
            </w:pPr>
            <w:r>
              <w:rPr>
                <w:rFonts w:ascii="Consolas" w:cs="Consolas" w:eastAsia="Consolas" w:hAnsi="Consolas"/>
                <w:color w:val="16323F"/>
                <w:sz w:val="16"/>
                <w:szCs w:val="16"/>
              </w:rPr>
              <w:t xml:space="preserve">  edge_type   VARCHAR NOT NULL,   -- shared_source|dependency|shared_entity|shared_kpi|</w:t>
            </w:r>
          </w:p>
          <w:p>
            <w:pPr>
              <w:spacing w:after="0" w:line="240"/>
            </w:pPr>
            <w:r>
              <w:rPr>
                <w:rFonts w:ascii="Consolas" w:cs="Consolas" w:eastAsia="Consolas" w:hAnsi="Consolas"/>
                <w:color w:val="16323F"/>
                <w:sz w:val="16"/>
                <w:szCs w:val="16"/>
              </w:rPr>
              <w:t xml:space="preserve">                                  -- semantic|co_consumption</w:t>
            </w:r>
          </w:p>
          <w:p>
            <w:pPr>
              <w:spacing w:after="0" w:line="240"/>
            </w:pPr>
            <w:r>
              <w:rPr>
                <w:rFonts w:ascii="Consolas" w:cs="Consolas" w:eastAsia="Consolas" w:hAnsi="Consolas"/>
                <w:color w:val="16323F"/>
                <w:sz w:val="16"/>
                <w:szCs w:val="16"/>
              </w:rPr>
              <w:t xml:space="preserve">  strength    NUMBER(4,3) NOT NULL,</w:t>
            </w:r>
          </w:p>
          <w:p>
            <w:pPr>
              <w:spacing w:after="0" w:line="240"/>
            </w:pPr>
            <w:r>
              <w:rPr>
                <w:rFonts w:ascii="Consolas" w:cs="Consolas" w:eastAsia="Consolas" w:hAnsi="Consolas"/>
                <w:color w:val="16323F"/>
                <w:sz w:val="16"/>
                <w:szCs w:val="16"/>
              </w:rPr>
              <w:t xml:space="preserve">  factors     VARIANT NOT NULL,   -- per-component contributions</w:t>
            </w:r>
          </w:p>
          <w:p>
            <w:pPr>
              <w:spacing w:after="0" w:line="240"/>
            </w:pPr>
            <w:r>
              <w:rPr>
                <w:rFonts w:ascii="Consolas" w:cs="Consolas" w:eastAsia="Consolas" w:hAnsi="Consolas"/>
                <w:color w:val="16323F"/>
                <w:sz w:val="16"/>
                <w:szCs w:val="16"/>
              </w:rPr>
              <w:t xml:space="preserve">  confidence  NUMBER(4,3) NOT NULL,</w:t>
            </w:r>
          </w:p>
          <w:p>
            <w:pPr>
              <w:spacing w:after="0" w:line="240"/>
            </w:pPr>
            <w:r>
              <w:rPr>
                <w:rFonts w:ascii="Consolas" w:cs="Consolas" w:eastAsia="Consolas" w:hAnsi="Consolas"/>
                <w:color w:val="16323F"/>
                <w:sz w:val="16"/>
                <w:szCs w:val="16"/>
              </w:rPr>
              <w:t xml:space="preserve">  rationale   VARCHAR NOT NULL,   -- human-readable; required for every edge</w:t>
            </w:r>
          </w:p>
          <w:p>
            <w:pPr>
              <w:spacing w:after="0" w:line="240"/>
            </w:pPr>
            <w:r>
              <w:rPr>
                <w:rFonts w:ascii="Consolas" w:cs="Consolas" w:eastAsia="Consolas" w:hAnsi="Consolas"/>
                <w:color w:val="16323F"/>
                <w:sz w:val="16"/>
                <w:szCs w:val="16"/>
              </w:rPr>
              <w:t xml:space="preserve">  reviewed_by VARCHAR,            -- required when confidence &lt; 0.80</w:t>
            </w:r>
          </w:p>
          <w:p>
            <w:pPr>
              <w:spacing w:after="0" w:line="240"/>
            </w:pPr>
            <w:r>
              <w:rPr>
                <w:rFonts w:ascii="Consolas" w:cs="Consolas" w:eastAsia="Consolas" w:hAnsi="Consolas"/>
                <w:color w:val="16323F"/>
                <w:sz w:val="16"/>
                <w:szCs w:val="16"/>
              </w:rPr>
              <w:t xml:space="preserve">  computed_at TIMESTAMP_NTZ NOT NULL</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CREATE TABLE entitlement_grant (</w:t>
            </w:r>
          </w:p>
          <w:p>
            <w:pPr>
              <w:spacing w:after="0" w:line="240"/>
            </w:pPr>
            <w:r>
              <w:rPr>
                <w:rFonts w:ascii="Consolas" w:cs="Consolas" w:eastAsia="Consolas" w:hAnsi="Consolas"/>
                <w:color w:val="16323F"/>
                <w:sz w:val="16"/>
                <w:szCs w:val="16"/>
              </w:rPr>
              <w:t xml:space="preserve">  grant_id     VARCHAR PRIMARY KEY,</w:t>
            </w:r>
          </w:p>
          <w:p>
            <w:pPr>
              <w:spacing w:after="0" w:line="240"/>
            </w:pPr>
            <w:r>
              <w:rPr>
                <w:rFonts w:ascii="Consolas" w:cs="Consolas" w:eastAsia="Consolas" w:hAnsi="Consolas"/>
                <w:color w:val="16323F"/>
                <w:sz w:val="16"/>
                <w:szCs w:val="16"/>
              </w:rPr>
              <w:t xml:space="preserve">  request_id   VARCHAR NOT NULL,</w:t>
            </w:r>
          </w:p>
          <w:p>
            <w:pPr>
              <w:spacing w:after="0" w:line="240"/>
            </w:pPr>
            <w:r>
              <w:rPr>
                <w:rFonts w:ascii="Consolas" w:cs="Consolas" w:eastAsia="Consolas" w:hAnsi="Consolas"/>
                <w:color w:val="16323F"/>
                <w:sz w:val="16"/>
                <w:szCs w:val="16"/>
              </w:rPr>
              <w:t xml:space="preserve">  principal_id VARCHAR NOT NULL,      -- person or agent identity</w:t>
            </w:r>
          </w:p>
          <w:p>
            <w:pPr>
              <w:spacing w:after="0" w:line="240"/>
            </w:pPr>
            <w:r>
              <w:rPr>
                <w:rFonts w:ascii="Consolas" w:cs="Consolas" w:eastAsia="Consolas" w:hAnsi="Consolas"/>
                <w:color w:val="16323F"/>
                <w:sz w:val="16"/>
                <w:szCs w:val="16"/>
              </w:rPr>
              <w:t xml:space="preserve">  asset_type   VARCHAR NOT NULL, asset_id VARCHAR NOT NULL,</w:t>
            </w:r>
          </w:p>
          <w:p>
            <w:pPr>
              <w:spacing w:after="0" w:line="240"/>
            </w:pPr>
            <w:r>
              <w:rPr>
                <w:rFonts w:ascii="Consolas" w:cs="Consolas" w:eastAsia="Consolas" w:hAnsi="Consolas"/>
                <w:color w:val="16323F"/>
                <w:sz w:val="16"/>
                <w:szCs w:val="16"/>
              </w:rPr>
              <w:t xml:space="preserve">  access_level VARCHAR NOT NULL,</w:t>
            </w:r>
          </w:p>
          <w:p>
            <w:pPr>
              <w:spacing w:after="0" w:line="240"/>
            </w:pPr>
            <w:r>
              <w:rPr>
                <w:rFonts w:ascii="Consolas" w:cs="Consolas" w:eastAsia="Consolas" w:hAnsi="Consolas"/>
                <w:color w:val="16323F"/>
                <w:sz w:val="16"/>
                <w:szCs w:val="16"/>
              </w:rPr>
              <w:t xml:space="preserve">  purpose_code VARCHAR NOT NULL, purpose_text VARCHAR NOT NULL,</w:t>
            </w:r>
          </w:p>
          <w:p>
            <w:pPr>
              <w:spacing w:after="0" w:line="240"/>
            </w:pPr>
            <w:r>
              <w:rPr>
                <w:rFonts w:ascii="Consolas" w:cs="Consolas" w:eastAsia="Consolas" w:hAnsi="Consolas"/>
                <w:color w:val="16323F"/>
                <w:sz w:val="16"/>
                <w:szCs w:val="16"/>
              </w:rPr>
              <w:t xml:space="preserve">  platform_role VARCHAR NOT NULL,     -- the role actually granted</w:t>
            </w:r>
          </w:p>
          <w:p>
            <w:pPr>
              <w:spacing w:after="0" w:line="240"/>
            </w:pPr>
            <w:r>
              <w:rPr>
                <w:rFonts w:ascii="Consolas" w:cs="Consolas" w:eastAsia="Consolas" w:hAnsi="Consolas"/>
                <w:color w:val="16323F"/>
                <w:sz w:val="16"/>
                <w:szCs w:val="16"/>
              </w:rPr>
              <w:t xml:space="preserve">  oauth_scopes ARRAY,</w:t>
            </w:r>
          </w:p>
          <w:p>
            <w:pPr>
              <w:spacing w:after="0" w:line="240"/>
            </w:pPr>
            <w:r>
              <w:rPr>
                <w:rFonts w:ascii="Consolas" w:cs="Consolas" w:eastAsia="Consolas" w:hAnsi="Consolas"/>
                <w:color w:val="16323F"/>
                <w:sz w:val="16"/>
                <w:szCs w:val="16"/>
              </w:rPr>
              <w:t xml:space="preserve">  granted_at TIMESTAMP_NTZ, expires_at TIMESTAMP_NTZ,</w:t>
            </w:r>
          </w:p>
          <w:p>
            <w:pPr>
              <w:spacing w:after="0" w:line="240"/>
            </w:pPr>
            <w:r>
              <w:rPr>
                <w:rFonts w:ascii="Consolas" w:cs="Consolas" w:eastAsia="Consolas" w:hAnsi="Consolas"/>
                <w:color w:val="16323F"/>
                <w:sz w:val="16"/>
                <w:szCs w:val="16"/>
              </w:rPr>
              <w:t xml:space="preserve">  revoked_at TIMESTAMP_NTZ, revocation_reason VARCHAR,</w:t>
            </w:r>
          </w:p>
          <w:p>
            <w:pPr>
              <w:spacing w:after="0" w:line="240"/>
            </w:pPr>
            <w:r>
              <w:rPr>
                <w:rFonts w:ascii="Consolas" w:cs="Consolas" w:eastAsia="Consolas" w:hAnsi="Consolas"/>
                <w:color w:val="16323F"/>
                <w:sz w:val="16"/>
                <w:szCs w:val="16"/>
              </w:rPr>
              <w:t xml:space="preserve">  last_used_at TIMESTAMP_NTZ          -- drives dormant-grant hygiene</w:t>
            </w:r>
          </w:p>
          <w:p>
            <w:pPr>
              <w:spacing w:after="0" w:line="240"/>
            </w:pPr>
            <w:r>
              <w:rPr>
                <w:rFonts w:ascii="Consolas" w:cs="Consolas" w:eastAsia="Consolas" w:hAnsi="Consolas"/>
                <w:color w:val="16323F"/>
                <w:sz w:val="16"/>
                <w:szCs w:val="16"/>
              </w:rPr>
              <w:t xml:space="preserve">);</w:t>
            </w:r>
          </w:p>
        </w:tc>
      </w:tr>
    </w:tbl>
    <w:p>
      <w:pPr>
        <w:pStyle w:val="Heading2"/>
        <w:spacing w:after="120" w:before="280"/>
      </w:pPr>
      <w:r>
        <w:rPr>
          <w:rFonts w:ascii="Calibri" w:cs="Calibri" w:eastAsia="Calibri" w:hAnsi="Calibri"/>
          <w:b/>
          <w:bCs/>
          <w:color w:val="117A8B"/>
          <w:sz w:val="25"/>
          <w:szCs w:val="25"/>
        </w:rPr>
        <w:t xml:space="preserve">21.4 Model Invariants</w:t>
      </w:r>
    </w:p>
    <w:p>
      <w:pPr>
        <w:pStyle w:val="ListParagraph"/>
        <w:numPr>
          <w:ilvl w:val="0"/>
          <w:numId w:val="2"/>
        </w:numPr>
        <w:spacing w:after="70" w:line="268"/>
      </w:pPr>
      <w:r>
        <w:rPr>
          <w:rFonts w:ascii="Calibri" w:cs="Calibri" w:eastAsia="Calibri" w:hAnsi="Calibri"/>
          <w:color w:val="1F2A33"/>
          <w:sz w:val="21"/>
          <w:szCs w:val="21"/>
        </w:rPr>
        <w:t xml:space="preserve">Exactly one active definition per KPI name per tenant. A second is a blocking publish error, not a warning.</w:t>
      </w:r>
    </w:p>
    <w:p>
      <w:pPr>
        <w:pStyle w:val="ListParagraph"/>
        <w:numPr>
          <w:ilvl w:val="0"/>
          <w:numId w:val="2"/>
        </w:numPr>
        <w:spacing w:after="70" w:line="268"/>
      </w:pPr>
      <w:r>
        <w:rPr>
          <w:rFonts w:ascii="Calibri" w:cs="Calibri" w:eastAsia="Calibri" w:hAnsi="Calibri"/>
          <w:color w:val="1F2A33"/>
          <w:sz w:val="21"/>
          <w:szCs w:val="21"/>
        </w:rPr>
        <w:t xml:space="preserve">A quality score row without a rubric_version is invalid and rejected at write time.</w:t>
      </w:r>
    </w:p>
    <w:p>
      <w:pPr>
        <w:pStyle w:val="ListParagraph"/>
        <w:numPr>
          <w:ilvl w:val="0"/>
          <w:numId w:val="2"/>
        </w:numPr>
        <w:spacing w:after="70" w:line="268"/>
      </w:pPr>
      <w:r>
        <w:rPr>
          <w:rFonts w:ascii="Calibri" w:cs="Calibri" w:eastAsia="Calibri" w:hAnsi="Calibri"/>
          <w:color w:val="1F2A33"/>
          <w:sz w:val="21"/>
          <w:szCs w:val="21"/>
        </w:rPr>
        <w:t xml:space="preserve">Every mesh edge and every automated inference carries confidence and rationale; below 0.80 requires reviewed_by before display.</w:t>
      </w:r>
    </w:p>
    <w:p>
      <w:pPr>
        <w:pStyle w:val="ListParagraph"/>
        <w:numPr>
          <w:ilvl w:val="0"/>
          <w:numId w:val="2"/>
        </w:numPr>
        <w:spacing w:after="70" w:line="268"/>
      </w:pPr>
      <w:r>
        <w:rPr>
          <w:rFonts w:ascii="Calibri" w:cs="Calibri" w:eastAsia="Calibri" w:hAnsi="Calibri"/>
          <w:color w:val="1F2A33"/>
          <w:sz w:val="21"/>
          <w:szCs w:val="21"/>
        </w:rPr>
        <w:t xml:space="preserve">An agent_version cannot be published with fewer than five demo_exchange rows, or with any agent_kpi_coverage row lacking a kpi_id.</w:t>
      </w:r>
    </w:p>
    <w:p>
      <w:pPr>
        <w:pStyle w:val="ListParagraph"/>
        <w:numPr>
          <w:ilvl w:val="0"/>
          <w:numId w:val="2"/>
        </w:numPr>
        <w:spacing w:after="70" w:line="268"/>
      </w:pPr>
      <w:r>
        <w:rPr>
          <w:rFonts w:ascii="Calibri" w:cs="Calibri" w:eastAsia="Calibri" w:hAnsi="Calibri"/>
          <w:color w:val="1F2A33"/>
          <w:sz w:val="21"/>
          <w:szCs w:val="21"/>
        </w:rPr>
        <w:t xml:space="preserve">sensitivity_tier on a product is derived from its columns and is not directly writable.</w:t>
      </w:r>
    </w:p>
    <w:p>
      <w:pPr>
        <w:pStyle w:val="ListParagraph"/>
        <w:numPr>
          <w:ilvl w:val="0"/>
          <w:numId w:val="2"/>
        </w:numPr>
        <w:spacing w:after="70" w:line="268"/>
      </w:pPr>
      <w:r>
        <w:rPr>
          <w:rFonts w:ascii="Calibri" w:cs="Calibri" w:eastAsia="Calibri" w:hAnsi="Calibri"/>
          <w:color w:val="1F2A33"/>
          <w:sz w:val="21"/>
          <w:szCs w:val="21"/>
        </w:rPr>
        <w:t xml:space="preserve">Publication snapshots are append-only. A published listing can be superseded, never edited.</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22. Reference Architecture &amp; Technology Stack</w:t>
      </w:r>
    </w:p>
    <w:p>
      <w:pPr>
        <w:pStyle w:val="Heading2"/>
        <w:spacing w:after="120" w:before="280"/>
      </w:pPr>
      <w:r>
        <w:rPr>
          <w:rFonts w:ascii="Calibri" w:cs="Calibri" w:eastAsia="Calibri" w:hAnsi="Calibri"/>
          <w:b/>
          <w:bCs/>
          <w:color w:val="117A8B"/>
          <w:sz w:val="25"/>
          <w:szCs w:val="25"/>
        </w:rPr>
        <w:t xml:space="preserve">22.1 Layered Architecture</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EXPERIENCE   Next.js portal · Owner &amp; steward consoles · Admin       │</w:t>
            </w:r>
          </w:p>
          <w:p>
            <w:pPr>
              <w:spacing w:after="0" w:line="240"/>
            </w:pPr>
            <w:r>
              <w:rPr>
                <w:rFonts w:ascii="Consolas" w:cs="Consolas" w:eastAsia="Consolas" w:hAnsi="Consolas"/>
                <w:color w:val="16323F"/>
                <w:sz w:val="16"/>
                <w:szCs w:val="16"/>
              </w:rPr>
              <w:t xml:space="preserve">│              Demo console · Mesh explorer · Board-pack export        │</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API          REST /api/v1 · GraphQL (read) · MCP gateway · Webhooks  │</w:t>
            </w:r>
          </w:p>
          <w:p>
            <w:pPr>
              <w:spacing w:after="0" w:line="240"/>
            </w:pPr>
            <w:r>
              <w:rPr>
                <w:rFonts w:ascii="Consolas" w:cs="Consolas" w:eastAsia="Consolas" w:hAnsi="Consolas"/>
                <w:color w:val="16323F"/>
                <w:sz w:val="16"/>
                <w:szCs w:val="16"/>
              </w:rPr>
              <w:t xml:space="preserve">│              OAuth 2.0 / OIDC · rate limiting · purpose enforcement  │</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SERVICES     Catalog · Search &amp; Ranking · Mesh Engine · Workflow     │</w:t>
            </w:r>
          </w:p>
          <w:p>
            <w:pPr>
              <w:spacing w:after="0" w:line="240"/>
            </w:pPr>
            <w:r>
              <w:rPr>
                <w:rFonts w:ascii="Consolas" w:cs="Consolas" w:eastAsia="Consolas" w:hAnsi="Consolas"/>
                <w:color w:val="16323F"/>
                <w:sz w:val="16"/>
                <w:szCs w:val="16"/>
              </w:rPr>
              <w:t xml:space="preserve">│              Entitlement · Quality · Observability · Value · Academy │</w:t>
            </w:r>
          </w:p>
          <w:p>
            <w:pPr>
              <w:spacing w:after="0" w:line="240"/>
            </w:pPr>
            <w:r>
              <w:rPr>
                <w:rFonts w:ascii="Consolas" w:cs="Consolas" w:eastAsia="Consolas" w:hAnsi="Consolas"/>
                <w:color w:val="16323F"/>
                <w:sz w:val="16"/>
                <w:szCs w:val="16"/>
              </w:rPr>
              <w:t xml:space="preserve">│              Agent Registry · Demo Runner · Intake &amp; Duplicate Match │</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METADATA     Postgres (canonical model, rubrics, workflow, audit)    │</w:t>
            </w:r>
          </w:p>
          <w:p>
            <w:pPr>
              <w:spacing w:after="0" w:line="240"/>
            </w:pPr>
            <w:r>
              <w:rPr>
                <w:rFonts w:ascii="Consolas" w:cs="Consolas" w:eastAsia="Consolas" w:hAnsi="Consolas"/>
                <w:color w:val="16323F"/>
                <w:sz w:val="16"/>
                <w:szCs w:val="16"/>
              </w:rPr>
              <w:t xml:space="preserve">│              Vector index (semantic search, duplicate detection)     │</w:t>
            </w:r>
          </w:p>
          <w:p>
            <w:pPr>
              <w:spacing w:after="0" w:line="240"/>
            </w:pPr>
            <w:r>
              <w:rPr>
                <w:rFonts w:ascii="Consolas" w:cs="Consolas" w:eastAsia="Consolas" w:hAnsi="Consolas"/>
                <w:color w:val="16323F"/>
                <w:sz w:val="16"/>
                <w:szCs w:val="16"/>
              </w:rPr>
              <w:t xml:space="preserve">│              Object store (manifests, snapshots, exports)            │</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CONNECTORS   Snowflake · Databricks · Fabric · BigQuery · Oracle     │</w:t>
            </w:r>
          </w:p>
          <w:p>
            <w:pPr>
              <w:spacing w:after="0" w:line="240"/>
            </w:pPr>
            <w:r>
              <w:rPr>
                <w:rFonts w:ascii="Consolas" w:cs="Consolas" w:eastAsia="Consolas" w:hAnsi="Consolas"/>
                <w:color w:val="16323F"/>
                <w:sz w:val="16"/>
                <w:szCs w:val="16"/>
              </w:rPr>
              <w:t xml:space="preserve">│              Collibra · Alation · Purview · Atlan · DataHub          │</w:t>
            </w:r>
          </w:p>
          <w:p>
            <w:pPr>
              <w:spacing w:after="0" w:line="240"/>
            </w:pPr>
            <w:r>
              <w:rPr>
                <w:rFonts w:ascii="Consolas" w:cs="Consolas" w:eastAsia="Consolas" w:hAnsi="Consolas"/>
                <w:color w:val="16323F"/>
                <w:sz w:val="16"/>
                <w:szCs w:val="16"/>
              </w:rPr>
              <w:t xml:space="preserve">│              Monte Carlo · Soda · Great Expectations · dbt           │</w:t>
            </w:r>
          </w:p>
          <w:p>
            <w:pPr>
              <w:spacing w:after="0" w:line="240"/>
            </w:pPr>
            <w:r>
              <w:rPr>
                <w:rFonts w:ascii="Consolas" w:cs="Consolas" w:eastAsia="Consolas" w:hAnsi="Consolas"/>
                <w:color w:val="16323F"/>
                <w:sz w:val="16"/>
                <w:szCs w:val="16"/>
              </w:rPr>
              <w:t xml:space="preserve">│              Okta/Entra · ServiceNow/Jira · Slack/Teams              │</w:t>
            </w:r>
          </w:p>
          <w:p>
            <w:pPr>
              <w:spacing w:after="0" w:line="240"/>
            </w:pPr>
            <w:r>
              <w:rPr>
                <w:rFonts w:ascii="Consolas" w:cs="Consolas" w:eastAsia="Consolas" w:hAnsi="Consolas"/>
                <w:color w:val="16323F"/>
                <w:sz w:val="16"/>
                <w:szCs w:val="16"/>
              </w:rPr>
              <w:t xml:space="preserve">├──────────────────────────────────────────────────────────────────────┤</w:t>
            </w:r>
          </w:p>
          <w:p>
            <w:pPr>
              <w:spacing w:after="0" w:line="240"/>
            </w:pPr>
            <w:r>
              <w:rPr>
                <w:rFonts w:ascii="Consolas" w:cs="Consolas" w:eastAsia="Consolas" w:hAnsi="Consolas"/>
                <w:color w:val="16323F"/>
                <w:sz w:val="16"/>
                <w:szCs w:val="16"/>
              </w:rPr>
              <w:t xml:space="preserve">│ DATA PLANE   Customer platform. Read-only metadata by default.       │</w:t>
            </w:r>
          </w:p>
          <w:p>
            <w:pPr>
              <w:spacing w:after="0" w:line="240"/>
            </w:pPr>
            <w:r>
              <w:rPr>
                <w:rFonts w:ascii="Consolas" w:cs="Consolas" w:eastAsia="Consolas" w:hAnsi="Consolas"/>
                <w:color w:val="16323F"/>
                <w:sz w:val="16"/>
                <w:szCs w:val="16"/>
              </w:rPr>
              <w:t xml:space="preserve">│              Data never leaves the customer boundary; the            │</w:t>
            </w:r>
          </w:p>
          <w:p>
            <w:pPr>
              <w:spacing w:after="0" w:line="240"/>
            </w:pPr>
            <w:r>
              <w:rPr>
                <w:rFonts w:ascii="Consolas" w:cs="Consolas" w:eastAsia="Consolas" w:hAnsi="Consolas"/>
                <w:color w:val="16323F"/>
                <w:sz w:val="16"/>
                <w:szCs w:val="16"/>
              </w:rPr>
              <w:t xml:space="preserve">│              marketplace stores metadata, contracts and telemetry.   │</w:t>
            </w:r>
          </w:p>
          <w:p>
            <w:pPr>
              <w:spacing w:after="0" w:line="240"/>
            </w:pPr>
            <w:r>
              <w:rPr>
                <w:rFonts w:ascii="Consolas" w:cs="Consolas" w:eastAsia="Consolas" w:hAnsi="Consolas"/>
                <w:color w:val="16323F"/>
                <w:sz w:val="16"/>
                <w:szCs w:val="16"/>
              </w:rPr>
              <w:t xml:space="preserve">└──────────────────────────────────────────────────────────────────────┘</w:t>
            </w:r>
          </w:p>
        </w:tc>
      </w:tr>
    </w:tbl>
    <w:p>
      <w:pPr>
        <w:pStyle w:val="Heading2"/>
        <w:spacing w:after="120" w:before="280"/>
      </w:pPr>
      <w:r>
        <w:rPr>
          <w:rFonts w:ascii="Calibri" w:cs="Calibri" w:eastAsia="Calibri" w:hAnsi="Calibri"/>
          <w:b/>
          <w:bCs/>
          <w:color w:val="117A8B"/>
          <w:sz w:val="25"/>
          <w:szCs w:val="25"/>
        </w:rPr>
        <w:t xml:space="preserve">22.2 Stack</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411"/>
        <w:gridCol w:w="3830"/>
        <w:gridCol w:w="4839"/>
      </w:tblGrid>
      <w:tr>
        <w:trPr>
          <w:tblHeader/>
        </w:trPr>
        <w:tc>
          <w:tcPr>
            <w:tcW w:type="dxa" w:w="141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Layer</w:t>
            </w:r>
          </w:p>
        </w:tc>
        <w:tc>
          <w:tcPr>
            <w:tcW w:type="dxa" w:w="383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Choice</w:t>
            </w:r>
          </w:p>
        </w:tc>
        <w:tc>
          <w:tcPr>
            <w:tcW w:type="dxa" w:w="483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Rationale</w:t>
            </w:r>
          </w:p>
        </w:tc>
      </w:tr>
      <w:tr>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Frontend</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Next.js App Router, TypeScript, Tailwind, shadcn/ui, Recharts, D3 for mesh</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Server components keep the landing page inside its LCP budget; D3 needed for mesh interaction</w:t>
            </w:r>
          </w:p>
        </w:tc>
      </w:tr>
      <w:tr>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API</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FastAPI (Python) or NestJS (TypeScript); OpenAPI 3.1 generated from source</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Contract-first; SDKs generated, never hand-written</w:t>
            </w:r>
          </w:p>
        </w:tc>
      </w:tr>
      <w:tr>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Workflow</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Temporal (or equivalent durable execution)</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Approval chains with SLA timers, escalation and compensation must survive restarts</w:t>
            </w:r>
          </w:p>
        </w:tc>
      </w:tr>
      <w:tr>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Metadata store</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PostgreSQL 16 with pgvector</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Relational integrity for the canonical model plus co-located embeddings for search</w:t>
            </w:r>
          </w:p>
        </w:tc>
      </w:tr>
      <w:tr>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Search</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Hybrid: pgvector or Cortex Search for semantic, Postgres FTS for lexical, fused by RRF</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Exact-name search must never lose to a semantic neighbour</w:t>
            </w:r>
          </w:p>
        </w:tc>
      </w:tr>
      <w:tr>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runtime</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Snowflake Cortex Agents / Snowflake Intelligence as reference; adapters for Bedrock, Vertex, Azure AI</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Native runtime keeps data in the platform boundary and simplifies security review</w:t>
            </w:r>
          </w:p>
        </w:tc>
      </w:tr>
      <w:tr>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MCP gateway</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Standalone MCP server per data product, generated from the manifest</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Any compliant agent can consume any product with no bespoke integration</w:t>
            </w:r>
          </w:p>
        </w:tc>
      </w:tr>
      <w:tr>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Observability</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OpenTelemetry traces and metrics; platform-native quality signals harvested by connector</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One trace spans portal → API → MCP → platform query</w:t>
            </w:r>
          </w:p>
        </w:tc>
      </w:tr>
      <w:tr>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Deployment</w:t>
            </w:r>
          </w:p>
        </w:tc>
        <w:tc>
          <w:tcPr>
            <w:tcW w:type="dxa" w:w="383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Containers on Kubernetes, or Snowpark Container Services for the Snowflake-native edition</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Native deployment is a structural advantage in security review and distribution</w:t>
            </w:r>
          </w:p>
        </w:tc>
      </w:tr>
      <w:tr>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IaC &amp; CI</w:t>
            </w:r>
          </w:p>
        </w:tc>
        <w:tc>
          <w:tcPr>
            <w:tcW w:type="dxa" w:w="383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Terraform, GitHub Actions; manifests and rubrics versioned in Git and promoted by pipeline</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Rubric changes are reviewed like code even though they are data</w:t>
            </w:r>
          </w:p>
        </w:tc>
      </w:tr>
    </w:tbl>
    <w:p>
      <w:pPr>
        <w:pStyle w:val="Heading2"/>
        <w:spacing w:after="120" w:before="280"/>
      </w:pPr>
      <w:r>
        <w:rPr>
          <w:rFonts w:ascii="Calibri" w:cs="Calibri" w:eastAsia="Calibri" w:hAnsi="Calibri"/>
          <w:b/>
          <w:bCs/>
          <w:color w:val="117A8B"/>
          <w:sz w:val="25"/>
          <w:szCs w:val="25"/>
        </w:rPr>
        <w:t xml:space="preserve">22.3 Snowflake-Native Edition</w:t>
      </w:r>
    </w:p>
    <w:p>
      <w:pPr>
        <w:pStyle w:val="ListParagraph"/>
        <w:numPr>
          <w:ilvl w:val="0"/>
          <w:numId w:val="2"/>
        </w:numPr>
        <w:spacing w:after="70" w:line="268"/>
      </w:pPr>
      <w:r>
        <w:rPr>
          <w:rFonts w:ascii="Calibri" w:cs="Calibri" w:eastAsia="Calibri" w:hAnsi="Calibri"/>
          <w:color w:val="1F2A33"/>
          <w:sz w:val="21"/>
          <w:szCs w:val="21"/>
        </w:rPr>
        <w:t xml:space="preserve">Marketplace metadata stored in a dedicated database; portal served from Snowpark Container Services so no data leaves the account.</w:t>
      </w:r>
    </w:p>
    <w:p>
      <w:pPr>
        <w:pStyle w:val="ListParagraph"/>
        <w:numPr>
          <w:ilvl w:val="0"/>
          <w:numId w:val="2"/>
        </w:numPr>
        <w:spacing w:after="70" w:line="268"/>
      </w:pPr>
      <w:r>
        <w:rPr>
          <w:rFonts w:ascii="Calibri" w:cs="Calibri" w:eastAsia="Calibri" w:hAnsi="Calibri"/>
          <w:color w:val="1F2A33"/>
          <w:sz w:val="21"/>
          <w:szCs w:val="21"/>
        </w:rPr>
        <w:t xml:space="preserve">Semantic views back Cortex Analyst for natural-language querying of each data product; the certified KPI definitions are the semantic model’s measures.</w:t>
      </w:r>
    </w:p>
    <w:p>
      <w:pPr>
        <w:pStyle w:val="ListParagraph"/>
        <w:numPr>
          <w:ilvl w:val="0"/>
          <w:numId w:val="2"/>
        </w:numPr>
        <w:spacing w:after="70" w:line="268"/>
      </w:pPr>
      <w:r>
        <w:rPr>
          <w:rFonts w:ascii="Calibri" w:cs="Calibri" w:eastAsia="Calibri" w:hAnsi="Calibri"/>
          <w:color w:val="1F2A33"/>
          <w:sz w:val="21"/>
          <w:szCs w:val="21"/>
        </w:rPr>
        <w:t xml:space="preserve">Cortex Search services back document-corpus products and the marketplace’s own search over descriptions and glossary.</w:t>
      </w:r>
    </w:p>
    <w:p>
      <w:pPr>
        <w:pStyle w:val="ListParagraph"/>
        <w:numPr>
          <w:ilvl w:val="0"/>
          <w:numId w:val="2"/>
        </w:numPr>
        <w:spacing w:after="70" w:line="268"/>
      </w:pPr>
      <w:r>
        <w:rPr>
          <w:rFonts w:ascii="Calibri" w:cs="Calibri" w:eastAsia="Calibri" w:hAnsi="Calibri"/>
          <w:color w:val="1F2A33"/>
          <w:sz w:val="21"/>
          <w:szCs w:val="21"/>
        </w:rPr>
        <w:t xml:space="preserve">Cortex Agents implement catalogued agents; agent tool scopes map to Snowflake roles, and masking and row-access policies enforce entitlement at the data layer.</w:t>
      </w:r>
    </w:p>
    <w:p>
      <w:pPr>
        <w:pStyle w:val="ListParagraph"/>
        <w:numPr>
          <w:ilvl w:val="0"/>
          <w:numId w:val="2"/>
        </w:numPr>
        <w:spacing w:after="70" w:line="268"/>
      </w:pPr>
      <w:r>
        <w:rPr>
          <w:rFonts w:ascii="Calibri" w:cs="Calibri" w:eastAsia="Calibri" w:hAnsi="Calibri"/>
          <w:color w:val="1F2A33"/>
          <w:sz w:val="21"/>
          <w:szCs w:val="21"/>
        </w:rPr>
        <w:t xml:space="preserve">ACCOUNT_USAGE and ORGANIZATION_USAGE supply usage, cost, access and lineage telemetry; Data Metric Functions supply quality results.</w:t>
      </w:r>
    </w:p>
    <w:p>
      <w:pPr>
        <w:pStyle w:val="ListParagraph"/>
        <w:numPr>
          <w:ilvl w:val="0"/>
          <w:numId w:val="2"/>
        </w:numPr>
        <w:spacing w:after="70" w:line="268"/>
      </w:pPr>
      <w:r>
        <w:rPr>
          <w:rFonts w:ascii="Calibri" w:cs="Calibri" w:eastAsia="Calibri" w:hAnsi="Calibri"/>
          <w:color w:val="1F2A33"/>
          <w:sz w:val="21"/>
          <w:szCs w:val="21"/>
        </w:rPr>
        <w:t xml:space="preserve">Products may be distributed across accounts via secure shares and internal listings; the marketplace is the governance layer above those shares.</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23. API Specification</w:t>
      </w:r>
    </w:p>
    <w:p>
      <w:pPr>
        <w:spacing w:after="120" w:line="276"/>
        <w:jc w:val="left"/>
      </w:pPr>
      <w:r>
        <w:rPr>
          <w:rFonts w:ascii="Calibri" w:cs="Calibri" w:eastAsia="Calibri" w:hAnsi="Calibri"/>
          <w:b w:val="false"/>
          <w:bCs w:val="false"/>
          <w:i w:val="false"/>
          <w:iCs w:val="false"/>
          <w:color w:val="1F2A33"/>
          <w:sz w:val="21"/>
          <w:szCs w:val="21"/>
        </w:rPr>
        <w:t xml:space="preserve">Every portal capability is available through the API; the portal is a client of its own API with no privileged path. Versioned under /api/v1, OpenAPI 3.1, cursor pagination, RFC 7807 problem responses.</w:t>
      </w:r>
    </w:p>
    <w:p>
      <w:pPr>
        <w:pStyle w:val="Heading2"/>
        <w:spacing w:after="120" w:before="280"/>
      </w:pPr>
      <w:r>
        <w:rPr>
          <w:rFonts w:ascii="Calibri" w:cs="Calibri" w:eastAsia="Calibri" w:hAnsi="Calibri"/>
          <w:b/>
          <w:bCs/>
          <w:color w:val="117A8B"/>
          <w:sz w:val="25"/>
          <w:szCs w:val="25"/>
        </w:rPr>
        <w:t xml:space="preserve">23.1 Endpoint Surface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226"/>
        <w:gridCol w:w="6854"/>
      </w:tblGrid>
      <w:tr>
        <w:trPr>
          <w:tblHeader/>
        </w:trPr>
        <w:tc>
          <w:tcPr>
            <w:tcW w:type="dxa" w:w="322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Method &amp; path</w:t>
            </w:r>
          </w:p>
        </w:tc>
        <w:tc>
          <w:tcPr>
            <w:tcW w:type="dxa" w:w="685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Purpose</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/products</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Search and filter the catalog; supports all facets, ranking and cursor pagination</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/products/{id}</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Full listing including contract, endpoints, quality, adoption and value</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/products/{id}/quality</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Current and historical scores with contributing rule results</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/products/{id}/contract</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Contract source and conformance history</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/products/{id}/consumption</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Usage and adoption analytics for the caller’s permitted scope</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/products/{id}/mesh</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Neighbourhood with edge types, strengths, confidence and rationale</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/products/{id}/lineage</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Upstream and downstream lineage</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/products</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Create from manifest (owner role); returns validation report</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/products/{id}/versions</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Publish a new version; runs the publish gate</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/agents</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Search and filter agents, including by KPI and by data product</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/agents/{id}</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Full listing including coverage map, scope, demo set and telemetry</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/agents/{id}/coverage</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KPI coverage map with evaluation accuracy per KPI</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/agents/{id}/demo</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Curated exchanges with expected shapes and validation status</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/agents/{id}/ask</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Execute a question. Body: question, tier (demo|live), purpose. Returns answer, citations, tool trace, latency and cost</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/agents/{id}/feedback</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Record acceptance or rejection with a reason; writes to the evaluation corpus</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/mesh/data · GET /mesh/agents</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graphs with filters, thresholds and layout hints</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/requests/access</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Create an access request; returns the evaluated approval path and SLA</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/requests/enhancement</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Create an enhancement request against an asset</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/requests/supply</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Create a demand request; returns duplicate-match candidates with similarity</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/requests · GET /requests/{id}</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Status, approval chain, decisions, SLA state</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/requests/{id}/decision</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Approve, decline or partially approve with a required reason</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/entitlements</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Grants for the caller, or the full register for security roles</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DELETE /entitlements/{id}</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Self-revoke or administrative revoke</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/demand</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Demand board with clustering, scoring and votes</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POST /demand/{id}/vote</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Vote with a required use-case line</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/observability/{assetType}/{id}</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Signals, incidents and alerts</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/value/{assetType}/{id}</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Value case, assumptions and realized measurements</w:t>
            </w:r>
          </w:p>
        </w:tc>
      </w:tr>
      <w:tr>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/academy/paths · POST /academy/enrollments</w:t>
            </w:r>
          </w:p>
        </w:tc>
        <w:tc>
          <w:tcPr>
            <w:tcW w:type="dxa" w:w="685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Learning paths, progress and certification</w:t>
            </w:r>
          </w:p>
        </w:tc>
      </w:tr>
      <w:tr>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 /admin/rubrics · POST /admin/rubrics/{id}/versions</w:t>
            </w:r>
          </w:p>
        </w:tc>
        <w:tc>
          <w:tcPr>
            <w:tcW w:type="dxa" w:w="685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Read and version scoring rubrics — the only way weights change</w:t>
            </w:r>
          </w:p>
        </w:tc>
      </w:tr>
    </w:tbl>
    <w:p>
      <w:pPr>
        <w:pStyle w:val="Heading2"/>
        <w:spacing w:after="120" w:before="280"/>
      </w:pPr>
      <w:r>
        <w:rPr>
          <w:rFonts w:ascii="Calibri" w:cs="Calibri" w:eastAsia="Calibri" w:hAnsi="Calibri"/>
          <w:b/>
          <w:bCs/>
          <w:color w:val="117A8B"/>
          <w:sz w:val="25"/>
          <w:szCs w:val="25"/>
        </w:rPr>
        <w:t xml:space="preserve">23.2 Agent Invocation Contract</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POST /api/v1/agents/AG-TEL-001/ask</w:t>
            </w:r>
          </w:p>
          <w:p>
            <w:pPr>
              <w:spacing w:after="0" w:line="240"/>
            </w:pPr>
            <w:r>
              <w:rPr>
                <w:rFonts w:ascii="Consolas" w:cs="Consolas" w:eastAsia="Consolas" w:hAnsi="Consolas"/>
                <w:color w:val="16323F"/>
                <w:sz w:val="16"/>
                <w:szCs w:val="16"/>
              </w:rPr>
              <w:t xml:space="preserve">{ "question": "Which segments drove the churn increase last quarter?",</w:t>
            </w:r>
          </w:p>
          <w:p>
            <w:pPr>
              <w:spacing w:after="0" w:line="240"/>
            </w:pPr>
            <w:r>
              <w:rPr>
                <w:rFonts w:ascii="Consolas" w:cs="Consolas" w:eastAsia="Consolas" w:hAnsi="Consolas"/>
                <w:color w:val="16323F"/>
                <w:sz w:val="16"/>
                <w:szCs w:val="16"/>
              </w:rPr>
              <w:t xml:space="preserve">  "tier": "live", "purpose": "churn-analysis-emea", "session_id": "..." }</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200 OK</w:t>
            </w:r>
          </w:p>
          <w:p>
            <w:pPr>
              <w:spacing w:after="0" w:line="240"/>
            </w:pPr>
            <w:r>
              <w:rPr>
                <w:rFonts w:ascii="Consolas" w:cs="Consolas" w:eastAsia="Consolas" w:hAnsi="Consolas"/>
                <w:color w:val="16323F"/>
                <w:sz w:val="16"/>
                <w:szCs w:val="16"/>
              </w:rPr>
              <w:t xml:space="preserve">{ "answer": { "headline": "...", "narrative": "...",</w:t>
            </w:r>
          </w:p>
          <w:p>
            <w:pPr>
              <w:spacing w:after="0" w:line="240"/>
            </w:pPr>
            <w:r>
              <w:rPr>
                <w:rFonts w:ascii="Consolas" w:cs="Consolas" w:eastAsia="Consolas" w:hAnsi="Consolas"/>
                <w:color w:val="16323F"/>
                <w:sz w:val="16"/>
                <w:szCs w:val="16"/>
              </w:rPr>
              <w:t xml:space="preserve">              "visual": { "type": "bar", "spec": { ... } },</w:t>
            </w:r>
          </w:p>
          <w:p>
            <w:pPr>
              <w:spacing w:after="0" w:line="240"/>
            </w:pPr>
            <w:r>
              <w:rPr>
                <w:rFonts w:ascii="Consolas" w:cs="Consolas" w:eastAsia="Consolas" w:hAnsi="Consolas"/>
                <w:color w:val="16323F"/>
                <w:sz w:val="16"/>
                <w:szCs w:val="16"/>
              </w:rPr>
              <w:t xml:space="preserve">              "table": { "columns": [...], "rows": [...] } },</w:t>
            </w:r>
          </w:p>
          <w:p>
            <w:pPr>
              <w:spacing w:after="0" w:line="240"/>
            </w:pPr>
            <w:r>
              <w:rPr>
                <w:rFonts w:ascii="Consolas" w:cs="Consolas" w:eastAsia="Consolas" w:hAnsi="Consolas"/>
                <w:color w:val="16323F"/>
                <w:sz w:val="16"/>
                <w:szCs w:val="16"/>
              </w:rPr>
              <w:t xml:space="preserve">  "citations": [ { "product_id": "DP-TEL-001", "contract_version": "3.2.0",</w:t>
            </w:r>
          </w:p>
          <w:p>
            <w:pPr>
              <w:spacing w:after="0" w:line="240"/>
            </w:pPr>
            <w:r>
              <w:rPr>
                <w:rFonts w:ascii="Consolas" w:cs="Consolas" w:eastAsia="Consolas" w:hAnsi="Consolas"/>
                <w:color w:val="16323F"/>
                <w:sz w:val="16"/>
                <w:szCs w:val="16"/>
              </w:rPr>
              <w:t xml:space="preserve">                   "columns": ["segment","churn_flag"], "as_of": "2026-09-03T06:12Z" } ],</w:t>
            </w:r>
          </w:p>
          <w:p>
            <w:pPr>
              <w:spacing w:after="0" w:line="240"/>
            </w:pPr>
            <w:r>
              <w:rPr>
                <w:rFonts w:ascii="Consolas" w:cs="Consolas" w:eastAsia="Consolas" w:hAnsi="Consolas"/>
                <w:color w:val="16323F"/>
                <w:sz w:val="16"/>
                <w:szCs w:val="16"/>
              </w:rPr>
              <w:t xml:space="preserve">  "kpi_definitions": ["KPI-CHURN-001"],</w:t>
            </w:r>
          </w:p>
          <w:p>
            <w:pPr>
              <w:spacing w:after="0" w:line="240"/>
            </w:pPr>
            <w:r>
              <w:rPr>
                <w:rFonts w:ascii="Consolas" w:cs="Consolas" w:eastAsia="Consolas" w:hAnsi="Consolas"/>
                <w:color w:val="16323F"/>
                <w:sz w:val="16"/>
                <w:szCs w:val="16"/>
              </w:rPr>
              <w:t xml:space="preserve">  "trace": { "tool_calls": [...], "rows_scanned": 184203,</w:t>
            </w:r>
          </w:p>
          <w:p>
            <w:pPr>
              <w:spacing w:after="0" w:line="240"/>
            </w:pPr>
            <w:r>
              <w:rPr>
                <w:rFonts w:ascii="Consolas" w:cs="Consolas" w:eastAsia="Consolas" w:hAnsi="Consolas"/>
                <w:color w:val="16323F"/>
                <w:sz w:val="16"/>
                <w:szCs w:val="16"/>
              </w:rPr>
              <w:t xml:space="preserve">             "latency_ms": 4120, "tokens": {"in": 3820, "out": 640},</w:t>
            </w:r>
          </w:p>
          <w:p>
            <w:pPr>
              <w:spacing w:after="0" w:line="240"/>
            </w:pPr>
            <w:r>
              <w:rPr>
                <w:rFonts w:ascii="Consolas" w:cs="Consolas" w:eastAsia="Consolas" w:hAnsi="Consolas"/>
                <w:color w:val="16323F"/>
                <w:sz w:val="16"/>
                <w:szCs w:val="16"/>
              </w:rPr>
              <w:t xml:space="preserve">             "cost_usd": 0.031 },</w:t>
            </w:r>
          </w:p>
          <w:p>
            <w:pPr>
              <w:spacing w:after="0" w:line="240"/>
            </w:pPr>
            <w:r>
              <w:rPr>
                <w:rFonts w:ascii="Consolas" w:cs="Consolas" w:eastAsia="Consolas" w:hAnsi="Consolas"/>
                <w:color w:val="16323F"/>
                <w:sz w:val="16"/>
                <w:szCs w:val="16"/>
              </w:rPr>
              <w:t xml:space="preserve">  "grounded": true, "confidence": 0.91,</w:t>
            </w:r>
          </w:p>
          <w:p>
            <w:pPr>
              <w:spacing w:after="0" w:line="240"/>
            </w:pPr>
            <w:r>
              <w:rPr>
                <w:rFonts w:ascii="Consolas" w:cs="Consolas" w:eastAsia="Consolas" w:hAnsi="Consolas"/>
                <w:color w:val="16323F"/>
                <w:sz w:val="16"/>
                <w:szCs w:val="16"/>
              </w:rPr>
              <w:t xml:space="preserve">  "scope": { "agent_identity": "svc-agent-tel-001",</w:t>
            </w:r>
          </w:p>
          <w:p>
            <w:pPr>
              <w:spacing w:after="0" w:line="240"/>
            </w:pPr>
            <w:r>
              <w:rPr>
                <w:rFonts w:ascii="Consolas" w:cs="Consolas" w:eastAsia="Consolas" w:hAnsi="Consolas"/>
                <w:color w:val="16323F"/>
                <w:sz w:val="16"/>
                <w:szCs w:val="16"/>
              </w:rPr>
              <w:t xml:space="preserve">             "on_behalf_of": "u-48231", "effective_scope": "intersection" } }</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422  { "type": "out_of_scope", "detail": "This agent does not cover network fault codes.",</w:t>
            </w:r>
          </w:p>
          <w:p>
            <w:pPr>
              <w:spacing w:after="0" w:line="240"/>
            </w:pPr>
            <w:r>
              <w:rPr>
                <w:rFonts w:ascii="Consolas" w:cs="Consolas" w:eastAsia="Consolas" w:hAnsi="Consolas"/>
                <w:color w:val="16323F"/>
                <w:sz w:val="16"/>
                <w:szCs w:val="16"/>
              </w:rPr>
              <w:t xml:space="preserve">       "suggested_agents": ["AG-TEL-002"], "file_demand_url": "..." }</w:t>
            </w:r>
          </w:p>
        </w:tc>
      </w:tr>
    </w:tbl>
    <w:p>
      <w:pPr>
        <w:spacing w:after="120" w:line="276"/>
        <w:jc w:val="left"/>
      </w:pPr>
      <w:r>
        <w:rPr>
          <w:rFonts w:ascii="Calibri" w:cs="Calibri" w:eastAsia="Calibri" w:hAnsi="Calibri"/>
          <w:b w:val="false"/>
          <w:bCs w:val="false"/>
          <w:i w:val="false"/>
          <w:iCs w:val="false"/>
          <w:color w:val="1F2A33"/>
          <w:sz w:val="21"/>
          <w:szCs w:val="21"/>
        </w:rPr>
        <w:t xml:space="preserve">An agent that cannot ground an answer returns a failure with an explanation rather than an ungrounded answer. This is a hard product rule, enforced in the API layer rather than left to the model.</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24. Non-Functional Requirements, Security &amp; Compliance</w:t>
      </w:r>
    </w:p>
    <w:p>
      <w:pPr>
        <w:pStyle w:val="Heading2"/>
        <w:spacing w:after="120" w:before="280"/>
      </w:pPr>
      <w:r>
        <w:rPr>
          <w:rFonts w:ascii="Calibri" w:cs="Calibri" w:eastAsia="Calibri" w:hAnsi="Calibri"/>
          <w:b/>
          <w:bCs/>
          <w:color w:val="117A8B"/>
          <w:sz w:val="25"/>
          <w:szCs w:val="25"/>
        </w:rPr>
        <w:t xml:space="preserve">24.1 Performance &amp; Scale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822"/>
        <w:gridCol w:w="7258"/>
      </w:tblGrid>
      <w:tr>
        <w:trPr>
          <w:tblHeader/>
        </w:trPr>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Requirement</w:t>
            </w:r>
          </w:p>
        </w:tc>
        <w:tc>
          <w:tcPr>
            <w:tcW w:type="dxa" w:w="72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Target</w:t>
            </w:r>
          </w:p>
        </w:tc>
      </w:tr>
      <w:tr>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Landing page LCP</w:t>
            </w:r>
          </w:p>
        </w:tc>
        <w:tc>
          <w:tcPr>
            <w:tcW w:type="dxa" w:w="72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 1.8 s on 4G; ≤ 1.0 s on broadband</w:t>
            </w:r>
          </w:p>
        </w:tc>
      </w:tr>
      <w:tr>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Catalog search response</w:t>
            </w:r>
          </w:p>
        </w:tc>
        <w:tc>
          <w:tcPr>
            <w:tcW w:type="dxa" w:w="72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p95 ≤ 400 ms for a 50k-asset catalog</w:t>
            </w:r>
          </w:p>
        </w:tc>
      </w:tr>
      <w:tr>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Detail page render</w:t>
            </w:r>
          </w:p>
        </w:tc>
        <w:tc>
          <w:tcPr>
            <w:tcW w:type="dxa" w:w="72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p95 ≤ 900 ms including quality and adoption panels</w:t>
            </w:r>
          </w:p>
        </w:tc>
      </w:tr>
      <w:tr>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Agent answer latency</w:t>
            </w:r>
          </w:p>
        </w:tc>
        <w:tc>
          <w:tcPr>
            <w:tcW w:type="dxa" w:w="72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p95 ≤ 6 s for curated demo questions; ≤ 12 s for free-form</w:t>
            </w:r>
          </w:p>
        </w:tc>
      </w:tr>
      <w:tr>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Mesh render</w:t>
            </w:r>
          </w:p>
        </w:tc>
        <w:tc>
          <w:tcPr>
            <w:tcW w:type="dxa" w:w="72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 2 s for 2,000 nodes and 8,000 edges; progressive rendering above that</w:t>
            </w:r>
          </w:p>
        </w:tc>
      </w:tr>
      <w:tr>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Catalog scale</w:t>
            </w:r>
          </w:p>
        </w:tc>
        <w:tc>
          <w:tcPr>
            <w:tcW w:type="dxa" w:w="72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50,000 data products, 5,000 agents, 100,000 users, 500 concurrent sessions per tenant</w:t>
            </w:r>
          </w:p>
        </w:tc>
      </w:tr>
      <w:tr>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Telemetry ingestion</w:t>
            </w:r>
          </w:p>
        </w:tc>
        <w:tc>
          <w:tcPr>
            <w:tcW w:type="dxa" w:w="72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50M usage events per day per tenant with 15-minute freshness on adoption panels</w:t>
            </w:r>
          </w:p>
        </w:tc>
      </w:tr>
    </w:tbl>
    <w:p>
      <w:pPr>
        <w:pStyle w:val="Heading2"/>
        <w:spacing w:after="120" w:before="280"/>
      </w:pPr>
      <w:r>
        <w:rPr>
          <w:rFonts w:ascii="Calibri" w:cs="Calibri" w:eastAsia="Calibri" w:hAnsi="Calibri"/>
          <w:b/>
          <w:bCs/>
          <w:color w:val="117A8B"/>
          <w:sz w:val="25"/>
          <w:szCs w:val="25"/>
        </w:rPr>
        <w:t xml:space="preserve">24.2 Security</w:t>
      </w:r>
    </w:p>
    <w:p>
      <w:pPr>
        <w:pStyle w:val="ListParagraph"/>
        <w:numPr>
          <w:ilvl w:val="0"/>
          <w:numId w:val="2"/>
        </w:numPr>
        <w:spacing w:after="70" w:line="268"/>
      </w:pPr>
      <w:r>
        <w:rPr>
          <w:rFonts w:ascii="Calibri" w:cs="Calibri" w:eastAsia="Calibri" w:hAnsi="Calibri"/>
          <w:color w:val="1F2A33"/>
          <w:sz w:val="21"/>
          <w:szCs w:val="21"/>
        </w:rPr>
        <w:t xml:space="preserve">OIDC single sign-on with the enterprise IdP; SCIM provisioning; MFA enforced for owner, steward, architect and administrator roles.</w:t>
      </w:r>
    </w:p>
    <w:p>
      <w:pPr>
        <w:pStyle w:val="ListParagraph"/>
        <w:numPr>
          <w:ilvl w:val="0"/>
          <w:numId w:val="2"/>
        </w:numPr>
        <w:spacing w:after="70" w:line="268"/>
      </w:pPr>
      <w:r>
        <w:rPr>
          <w:rFonts w:ascii="Calibri" w:cs="Calibri" w:eastAsia="Calibri" w:hAnsi="Calibri"/>
          <w:color w:val="1F2A33"/>
          <w:sz w:val="21"/>
          <w:szCs w:val="21"/>
        </w:rPr>
        <w:t xml:space="preserve">Least privilege throughout: every connector service principal has a published permission manifest, and CI includes a kill test asserting that no connector can write to a customer platform.</w:t>
      </w:r>
    </w:p>
    <w:p>
      <w:pPr>
        <w:pStyle w:val="ListParagraph"/>
        <w:numPr>
          <w:ilvl w:val="0"/>
          <w:numId w:val="2"/>
        </w:numPr>
        <w:spacing w:after="70" w:line="268"/>
      </w:pPr>
      <w:r>
        <w:rPr>
          <w:rFonts w:ascii="Calibri" w:cs="Calibri" w:eastAsia="Calibri" w:hAnsi="Calibri"/>
          <w:color w:val="1F2A33"/>
          <w:sz w:val="21"/>
          <w:szCs w:val="21"/>
        </w:rPr>
        <w:t xml:space="preserve">The marketplace never becomes a shadow authorization store. All data access is provisioned into the platform’s native RBAC and revoked there.</w:t>
      </w:r>
    </w:p>
    <w:p>
      <w:pPr>
        <w:pStyle w:val="ListParagraph"/>
        <w:numPr>
          <w:ilvl w:val="0"/>
          <w:numId w:val="2"/>
        </w:numPr>
        <w:spacing w:after="70" w:line="268"/>
      </w:pPr>
      <w:r>
        <w:rPr>
          <w:rFonts w:ascii="Calibri" w:cs="Calibri" w:eastAsia="Calibri" w:hAnsi="Calibri"/>
          <w:color w:val="1F2A33"/>
          <w:sz w:val="21"/>
          <w:szCs w:val="21"/>
        </w:rPr>
        <w:t xml:space="preserve">Encryption in transit (TLS 1.3) and at rest; customer-managed keys supported; secrets in a managed vault with rotation.</w:t>
      </w:r>
    </w:p>
    <w:p>
      <w:pPr>
        <w:pStyle w:val="ListParagraph"/>
        <w:numPr>
          <w:ilvl w:val="0"/>
          <w:numId w:val="2"/>
        </w:numPr>
        <w:spacing w:after="70" w:line="268"/>
      </w:pPr>
      <w:r>
        <w:rPr>
          <w:rFonts w:ascii="Calibri" w:cs="Calibri" w:eastAsia="Calibri" w:hAnsi="Calibri"/>
          <w:color w:val="1F2A33"/>
          <w:sz w:val="21"/>
          <w:szCs w:val="21"/>
        </w:rPr>
        <w:t xml:space="preserve">Row-level and column-level policy enforcement occurs in the data platform, never in the application layer.</w:t>
      </w:r>
    </w:p>
    <w:p>
      <w:pPr>
        <w:pStyle w:val="ListParagraph"/>
        <w:numPr>
          <w:ilvl w:val="0"/>
          <w:numId w:val="2"/>
        </w:numPr>
        <w:spacing w:after="70" w:line="268"/>
      </w:pPr>
      <w:r>
        <w:rPr>
          <w:rFonts w:ascii="Calibri" w:cs="Calibri" w:eastAsia="Calibri" w:hAnsi="Calibri"/>
          <w:color w:val="1F2A33"/>
          <w:sz w:val="21"/>
          <w:szCs w:val="21"/>
        </w:rPr>
        <w:t xml:space="preserve">Agent identities are distinct machine principals; delegated access is always the intersection of agent scope and user entitlement.</w:t>
      </w:r>
    </w:p>
    <w:p>
      <w:pPr>
        <w:pStyle w:val="ListParagraph"/>
        <w:numPr>
          <w:ilvl w:val="0"/>
          <w:numId w:val="2"/>
        </w:numPr>
        <w:spacing w:after="70" w:line="268"/>
      </w:pPr>
      <w:r>
        <w:rPr>
          <w:rFonts w:ascii="Calibri" w:cs="Calibri" w:eastAsia="Calibri" w:hAnsi="Calibri"/>
          <w:color w:val="1F2A33"/>
          <w:sz w:val="21"/>
          <w:szCs w:val="21"/>
        </w:rPr>
        <w:t xml:space="preserve">Prompt-injection defences on every retrieval path, with content from untrusted sources treated as data and never as instructions.</w:t>
      </w:r>
    </w:p>
    <w:p>
      <w:pPr>
        <w:pStyle w:val="ListParagraph"/>
        <w:numPr>
          <w:ilvl w:val="0"/>
          <w:numId w:val="2"/>
        </w:numPr>
        <w:spacing w:after="70" w:line="268"/>
      </w:pPr>
      <w:r>
        <w:rPr>
          <w:rFonts w:ascii="Calibri" w:cs="Calibri" w:eastAsia="Calibri" w:hAnsi="Calibri"/>
          <w:color w:val="1F2A33"/>
          <w:sz w:val="21"/>
          <w:szCs w:val="21"/>
        </w:rPr>
        <w:t xml:space="preserve">Full audit: every view of a Restricted listing, every request, decision, grant, revocation, agent question and returned column set is logged immutably.</w:t>
      </w:r>
    </w:p>
    <w:p>
      <w:pPr>
        <w:pStyle w:val="Heading2"/>
        <w:spacing w:after="120" w:before="280"/>
      </w:pPr>
      <w:r>
        <w:rPr>
          <w:rFonts w:ascii="Calibri" w:cs="Calibri" w:eastAsia="Calibri" w:hAnsi="Calibri"/>
          <w:b/>
          <w:bCs/>
          <w:color w:val="117A8B"/>
          <w:sz w:val="25"/>
          <w:szCs w:val="25"/>
        </w:rPr>
        <w:t xml:space="preserve">24.3 Availability &amp; Resilience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Aspect</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Requirement</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Availability</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99.9% monthly for the portal and API; 99.5% for the demo console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RPO / RTO</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RPO 15 minutes, RTO 4 hours; workflow state is durable and replayable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Degradation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If the data plane is unreachable the catalog remains browsable with last-known metadata, clearly stamped with its as-of time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Agent failure</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Agent unavailability degrades to cached curated answers with a visible staleness banner; never to a silent failure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7"/>
                <w:szCs w:val="17"/>
              </w:rPr>
              <w:t xml:space="preserve">Backups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7"/>
                <w:szCs w:val="17"/>
              </w:rPr>
              <w:t xml:space="preserve">Point-in-time recovery for metadata; snapshots retained per the customer retention policy</w:t>
            </w:r>
          </w:p>
        </w:tc>
      </w:tr>
    </w:tbl>
    <w:p>
      <w:pPr>
        <w:pStyle w:val="Heading2"/>
        <w:spacing w:after="120" w:before="280"/>
      </w:pPr>
      <w:r>
        <w:rPr>
          <w:rFonts w:ascii="Calibri" w:cs="Calibri" w:eastAsia="Calibri" w:hAnsi="Calibri"/>
          <w:b/>
          <w:bCs/>
          <w:color w:val="117A8B"/>
          <w:sz w:val="25"/>
          <w:szCs w:val="25"/>
        </w:rPr>
        <w:t xml:space="preserve">24.4 Compliance &amp; Tenancy</w:t>
      </w:r>
    </w:p>
    <w:p>
      <w:pPr>
        <w:pStyle w:val="ListParagraph"/>
        <w:numPr>
          <w:ilvl w:val="0"/>
          <w:numId w:val="2"/>
        </w:numPr>
        <w:spacing w:after="70" w:line="268"/>
      </w:pPr>
      <w:r>
        <w:rPr>
          <w:rFonts w:ascii="Calibri" w:cs="Calibri" w:eastAsia="Calibri" w:hAnsi="Calibri"/>
          <w:b/>
          <w:bCs/>
          <w:color w:val="0B2C4D"/>
          <w:sz w:val="21"/>
          <w:szCs w:val="21"/>
        </w:rPr>
        <w:t xml:space="preserve">Multi-tenancy</w:t>
      </w:r>
      <w:r>
        <w:rPr>
          <w:rFonts w:ascii="Calibri" w:cs="Calibri" w:eastAsia="Calibri" w:hAnsi="Calibri"/>
          <w:color w:val="1F2A33"/>
          <w:sz w:val="21"/>
          <w:szCs w:val="21"/>
        </w:rPr>
        <w:t xml:space="preserve"> — logical isolation by tenant_id with row-level security at the database, plus optional single-tenant deployment for regulated customers.</w:t>
      </w:r>
    </w:p>
    <w:p>
      <w:pPr>
        <w:pStyle w:val="ListParagraph"/>
        <w:numPr>
          <w:ilvl w:val="0"/>
          <w:numId w:val="2"/>
        </w:numPr>
        <w:spacing w:after="70" w:line="268"/>
      </w:pPr>
      <w:r>
        <w:rPr>
          <w:rFonts w:ascii="Calibri" w:cs="Calibri" w:eastAsia="Calibri" w:hAnsi="Calibri"/>
          <w:b/>
          <w:bCs/>
          <w:color w:val="0B2C4D"/>
          <w:sz w:val="21"/>
          <w:szCs w:val="21"/>
        </w:rPr>
        <w:t xml:space="preserve">Residency</w:t>
      </w:r>
      <w:r>
        <w:rPr>
          <w:rFonts w:ascii="Calibri" w:cs="Calibri" w:eastAsia="Calibri" w:hAnsi="Calibri"/>
          <w:color w:val="1F2A33"/>
          <w:sz w:val="21"/>
          <w:szCs w:val="21"/>
        </w:rPr>
        <w:t xml:space="preserve"> — metadata storage region is configurable per tenant; the data plane never leaves the customer’s platform.</w:t>
      </w:r>
    </w:p>
    <w:p>
      <w:pPr>
        <w:pStyle w:val="ListParagraph"/>
        <w:numPr>
          <w:ilvl w:val="0"/>
          <w:numId w:val="2"/>
        </w:numPr>
        <w:spacing w:after="70" w:line="268"/>
      </w:pPr>
      <w:r>
        <w:rPr>
          <w:rFonts w:ascii="Calibri" w:cs="Calibri" w:eastAsia="Calibri" w:hAnsi="Calibri"/>
          <w:b/>
          <w:bCs/>
          <w:color w:val="0B2C4D"/>
          <w:sz w:val="21"/>
          <w:szCs w:val="21"/>
        </w:rPr>
        <w:t xml:space="preserve">Regulatory posture</w:t>
      </w:r>
      <w:r>
        <w:rPr>
          <w:rFonts w:ascii="Calibri" w:cs="Calibri" w:eastAsia="Calibri" w:hAnsi="Calibri"/>
          <w:color w:val="1F2A33"/>
          <w:sz w:val="21"/>
          <w:szCs w:val="21"/>
        </w:rPr>
        <w:t xml:space="preserve"> — designed to support SOC 2 Type II, ISO 27001, GDPR and CCPA obligations; HIPAA-eligible configuration for healthcare tenants; the EU AI Act transparency obligations are met by the agent listing itself, which documents purpose, data sources, limitations and human oversight for every agent.</w:t>
      </w:r>
    </w:p>
    <w:p>
      <w:pPr>
        <w:pStyle w:val="ListParagraph"/>
        <w:numPr>
          <w:ilvl w:val="0"/>
          <w:numId w:val="2"/>
        </w:numPr>
        <w:spacing w:after="70" w:line="268"/>
      </w:pPr>
      <w:r>
        <w:rPr>
          <w:rFonts w:ascii="Calibri" w:cs="Calibri" w:eastAsia="Calibri" w:hAnsi="Calibri"/>
          <w:b/>
          <w:bCs/>
          <w:color w:val="0B2C4D"/>
          <w:sz w:val="21"/>
          <w:szCs w:val="21"/>
        </w:rPr>
        <w:t xml:space="preserve">Retention</w:t>
      </w:r>
      <w:r>
        <w:rPr>
          <w:rFonts w:ascii="Calibri" w:cs="Calibri" w:eastAsia="Calibri" w:hAnsi="Calibri"/>
          <w:color w:val="1F2A33"/>
          <w:sz w:val="21"/>
          <w:szCs w:val="21"/>
        </w:rPr>
        <w:t xml:space="preserve"> — audit events retained for seven years by default; usage telemetry aggregated after 13 months; agent interaction logs retained per tenant policy with configurable redaction.</w:t>
      </w:r>
    </w:p>
    <w:p>
      <w:pPr>
        <w:pStyle w:val="ListParagraph"/>
        <w:numPr>
          <w:ilvl w:val="0"/>
          <w:numId w:val="2"/>
        </w:numPr>
        <w:spacing w:after="70" w:line="268"/>
      </w:pPr>
      <w:r>
        <w:rPr>
          <w:rFonts w:ascii="Calibri" w:cs="Calibri" w:eastAsia="Calibri" w:hAnsi="Calibri"/>
          <w:b/>
          <w:bCs/>
          <w:color w:val="0B2C4D"/>
          <w:sz w:val="21"/>
          <w:szCs w:val="21"/>
        </w:rPr>
        <w:t xml:space="preserve">Right to explanation</w:t>
      </w:r>
      <w:r>
        <w:rPr>
          <w:rFonts w:ascii="Calibri" w:cs="Calibri" w:eastAsia="Calibri" w:hAnsi="Calibri"/>
          <w:color w:val="1F2A33"/>
          <w:sz w:val="21"/>
          <w:szCs w:val="21"/>
        </w:rPr>
        <w:t xml:space="preserve"> — for any agent answer, the full chain of question, retrieved context, tool calls, returned columns and answer is reconstructable for the retention period.</w:t>
      </w:r>
    </w:p>
    <w:p>
      <w:pPr>
        <w:pStyle w:val="ListParagraph"/>
        <w:numPr>
          <w:ilvl w:val="0"/>
          <w:numId w:val="2"/>
        </w:numPr>
        <w:spacing w:after="70" w:line="268"/>
      </w:pPr>
      <w:r>
        <w:rPr>
          <w:rFonts w:ascii="Calibri" w:cs="Calibri" w:eastAsia="Calibri" w:hAnsi="Calibri"/>
          <w:b/>
          <w:bCs/>
          <w:color w:val="0B2C4D"/>
          <w:sz w:val="21"/>
          <w:szCs w:val="21"/>
        </w:rPr>
        <w:t xml:space="preserve">Accessibility</w:t>
      </w:r>
      <w:r>
        <w:rPr>
          <w:rFonts w:ascii="Calibri" w:cs="Calibri" w:eastAsia="Calibri" w:hAnsi="Calibri"/>
          <w:color w:val="1F2A33"/>
          <w:sz w:val="21"/>
          <w:szCs w:val="21"/>
        </w:rPr>
        <w:t xml:space="preserve"> — WCAG 2.2 AA across all surfaces, with an accessible equivalent for every visualization including both meshes.</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25. Seed Catalog — 15 Domain Data Products</w:t>
      </w:r>
    </w:p>
    <w:p>
      <w:pPr>
        <w:spacing w:after="120" w:line="276"/>
        <w:jc w:val="left"/>
      </w:pPr>
      <w:r>
        <w:rPr>
          <w:rFonts w:ascii="Calibri" w:cs="Calibri" w:eastAsia="Calibri" w:hAnsi="Calibri"/>
          <w:b w:val="false"/>
          <w:bCs w:val="false"/>
          <w:i w:val="false"/>
          <w:iCs w:val="false"/>
          <w:color w:val="1F2A33"/>
          <w:sz w:val="21"/>
          <w:szCs w:val="21"/>
        </w:rPr>
        <w:t xml:space="preserve">This catalog ships with the product. It is sufficient to run a credible client demonstration in any of nine industries on day one, and it doubles as the worked-example library referenced by the academy. Every entry below is fully specified in the seed manifests: contract, columns, quality rules, endpoints, adoption profile and value case.</w:t>
      </w:r>
    </w:p>
    <w:p>
      <w:pPr>
        <w:pStyle w:val="Heading2"/>
        <w:spacing w:after="120" w:before="280"/>
      </w:pPr>
      <w:r>
        <w:rPr>
          <w:rFonts w:ascii="Calibri" w:cs="Calibri" w:eastAsia="Calibri" w:hAnsi="Calibri"/>
          <w:b/>
          <w:bCs/>
          <w:color w:val="117A8B"/>
          <w:sz w:val="25"/>
          <w:szCs w:val="25"/>
        </w:rPr>
        <w:t xml:space="preserve">25.1 Product Register — Purpose &amp; Certified KPIs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058"/>
        <w:gridCol w:w="1562"/>
        <w:gridCol w:w="1260"/>
        <w:gridCol w:w="3377"/>
        <w:gridCol w:w="2823"/>
      </w:tblGrid>
      <w:tr>
        <w:trPr>
          <w:tblHeader/>
        </w:trPr>
        <w:tc>
          <w:tcPr>
            <w:tcW w:type="dxa" w:w="10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ID</w:t>
            </w:r>
          </w:p>
        </w:tc>
        <w:tc>
          <w:tcPr>
            <w:tcW w:type="dxa" w:w="156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Product</w:t>
            </w:r>
          </w:p>
        </w:tc>
        <w:tc>
          <w:tcPr>
            <w:tcW w:type="dxa" w:w="126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Industry / Domain</w:t>
            </w:r>
          </w:p>
        </w:tc>
        <w:tc>
          <w:tcPr>
            <w:tcW w:type="dxa" w:w="3377"/>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Grain &amp; purpose</w:t>
            </w:r>
          </w:p>
        </w:tc>
        <w:tc>
          <w:tcPr>
            <w:tcW w:type="dxa" w:w="282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Certified KPIs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DP-TEL-001</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Subscriber Churn &amp; Retention 360</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Telecom / Customer</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subscriber per day, 36 months. Unified view of subscriber state, tenure, plan, usage, service events and churn outcome for retention decisioning.</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Churn Rate · Retention Rate · Save Rate · Average Tenure · Churn Propensity Decile</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DP-TEL-002</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Network Experience &amp; Fault Signal</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Telecom / Network &amp; Asset</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cell site per hour, 13 months. Radio performance, fault events and customer-impacting degradation joined to service geography.</w:t>
            </w:r>
          </w:p>
        </w:tc>
        <w:tc>
          <w:tcPr>
            <w:tcW w:type="dxa" w:w="282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Network Availability · Dropped Call Rate · Throughput p50/p95 · Fault MTTR · Impacted Subscriber Hours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DP-TCH-001</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Product Usage &amp; Feature Adoption</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Technology / Product</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account per feature per day, 24 months. Instrumented product telemetry mapped to accounts, entitlements and lifecycle stage.</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DAU/MAU · Feature Adoption Rate · Activation Rate · Time to Value · Net Revenue Retention</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DP-BNK-001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Customer Financial 360</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Banking / Customer</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customer per month, 60 months. Holdings, balances, channel behaviour, servicing events and relationship value across all lines of business.</w:t>
            </w:r>
          </w:p>
        </w:tc>
        <w:tc>
          <w:tcPr>
            <w:tcW w:type="dxa" w:w="282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Primary Bank Share · Products per Customer · Customer Lifetime Value · Attrition Risk Score · Deposit Balance Growth</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DP-BNK-002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Transaction Surveillance &amp; Financial Crime Signal</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Banking / Risk &amp; Compliance</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alert per disposition event, 84 months. Alerts, typologies, investigation states and outcomes for AML and fraud oversight.</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Alert Volume · False Positive Rate · SAR Conversion Rate · Investigation Cycle Time · Backlog Age</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DP-INS-001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Claims Lifecycle &amp; Loss Performance</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Insurance / Risk</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claim per status transition, 84 months. Full claim journey with reserves, payments, adjuster actions and recovery.</w:t>
            </w:r>
          </w:p>
        </w:tc>
        <w:tc>
          <w:tcPr>
            <w:tcW w:type="dxa" w:w="282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Loss Ratio · Claims Cycle Time · Average Severity · Leakage Rate · Recovery Rate</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DP-INS-002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Policy &amp; Underwriting Portfolio</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Insurance / Product</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policy per month, 84 months. In-force portfolio with exposure, pricing, risk attributes and renewal state.</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Written Premium · Policy Retention · Quote-to-Bind Rate · Rate Adequacy · Exposure Concentration</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DP-HLT-001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Patient Care Journey &amp; Readmission</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Healthcare / Clinical</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encounter with linked longitudinal journey, 60 months. Admissions, diagnoses, procedures, discharge disposition and follow-up.</w:t>
            </w:r>
          </w:p>
        </w:tc>
        <w:tc>
          <w:tcPr>
            <w:tcW w:type="dxa" w:w="282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30-Day Readmission Rate · Average Length of Stay · ED Utilization Rate · Care Gap Closure · Discharge to Follow-up Interval</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DP-HLT-002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Pharmacy &amp; Clinical Supply Utilization</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Healthcare / Supply Chain</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item per location per day, 36 months. Dispensing, inventory, formulary status and cost for clinical supply.</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Formulary Adherence · Stockout Rate · Cost per Patient Day · Waste Rate · Substitution Rate</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DP-RTL-001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Omnichannel Sales &amp; Basket Analytics</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Retail / Customer</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transaction line, 36 months. Sales across store, web and app with basket composition, promotion and margin.</w:t>
            </w:r>
          </w:p>
        </w:tc>
        <w:tc>
          <w:tcPr>
            <w:tcW w:type="dxa" w:w="282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Comparable Sales Growth · Average Basket Value · Conversion Rate · Gross Margin Rate · Promotion Lift</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DP-RTL-002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Inventory Position &amp; Replenishment Signal</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Retail / Supply Chain</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SKU per location per day, 24 months. On-hand, in-transit, demand forecast and replenishment recommendation.</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In-Stock Rate · Weeks of Supply · Sell-Through Rate · Forecast Accuracy (MAPE) · Lost Sales Estimate</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DP-TRN-001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Fleet Movement &amp; Delivery Performance</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Transportation / Operations</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shipment leg, 36 months. Telematics, route plan versus actual, dwell, exception and cost.</w:t>
            </w:r>
          </w:p>
        </w:tc>
        <w:tc>
          <w:tcPr>
            <w:tcW w:type="dxa" w:w="282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On-Time Delivery Rate · Cost per Mile · Dwell Time · Asset Utilization · Exception Rate</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DP-UTL-001</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Grid Asset Health &amp; Outage</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Utilities / Network &amp; Asset</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asset per day plus outage event rows, 84 months. Condition monitoring, maintenance history and interruption events.</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SAIDI · SAIFI · Asset Health Index · Average Restoration Time · Preventive Maintenance Compliance</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DP-ENG-001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Smart Meter Consumption &amp; Load Profile</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Utilities &amp; Energy / Customer</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meter per interval, 24 months. Interval consumption, load shape, tariff and demand-response participation.</w:t>
            </w:r>
          </w:p>
        </w:tc>
        <w:tc>
          <w:tcPr>
            <w:tcW w:type="dxa" w:w="282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Peak Demand · Load Factor · Consumption per Customer · DR Event Response Rate · Estimated Read Rate</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DP-MFG-001</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Manufacturing Yield &amp; Equipment Effectiveness</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Manufacturing / Operations</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row per production run per line per shift, 36 months. Availability, performance, quality, downtime reasons and scrap.</w:t>
            </w:r>
          </w:p>
        </w:tc>
        <w:tc>
          <w:tcPr>
            <w:tcW w:type="dxa" w:w="282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OEE · First Pass Yield · Unplanned Downtime Hours · Scrap Rate · Changeover Time</w:t>
            </w:r>
          </w:p>
        </w:tc>
      </w:tr>
    </w:tbl>
    <w:p>
      <w:pPr>
        <w:pStyle w:val="Heading2"/>
        <w:spacing w:after="120" w:before="280"/>
      </w:pPr>
      <w:r>
        <w:rPr>
          <w:rFonts w:ascii="Calibri" w:cs="Calibri" w:eastAsia="Calibri" w:hAnsi="Calibri"/>
          <w:b/>
          <w:bCs/>
          <w:color w:val="117A8B"/>
          <w:sz w:val="25"/>
          <w:szCs w:val="25"/>
        </w:rPr>
        <w:t xml:space="preserve">25.2 Product Register — Operational Profile</w:t>
      </w:r>
    </w:p>
    <w:p>
      <w:pPr>
        <w:spacing w:after="120" w:line="276"/>
        <w:jc w:val="left"/>
      </w:pPr>
      <w:r>
        <w:rPr>
          <w:rFonts w:ascii="Calibri" w:cs="Calibri" w:eastAsia="Calibri" w:hAnsi="Calibri"/>
          <w:b w:val="false"/>
          <w:bCs w:val="false"/>
          <w:i w:val="false"/>
          <w:iCs w:val="false"/>
          <w:color w:val="1F2A33"/>
          <w:sz w:val="21"/>
          <w:szCs w:val="21"/>
        </w:rPr>
        <w:t xml:space="preserve">Freshness and quality figures below are the seed values shipped with the demo tier; in a live deployment they are computed from telemetry and change continuously.</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058"/>
        <w:gridCol w:w="2369"/>
        <w:gridCol w:w="1361"/>
        <w:gridCol w:w="1058"/>
        <w:gridCol w:w="1260"/>
        <w:gridCol w:w="1411"/>
        <w:gridCol w:w="1563"/>
      </w:tblGrid>
      <w:tr>
        <w:trPr>
          <w:tblHeader/>
        </w:trPr>
        <w:tc>
          <w:tcPr>
            <w:tcW w:type="dxa" w:w="10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ID</w:t>
            </w:r>
          </w:p>
        </w:tc>
        <w:tc>
          <w:tcPr>
            <w:tcW w:type="dxa" w:w="236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Primary sources</w:t>
            </w:r>
          </w:p>
        </w:tc>
        <w:tc>
          <w:tcPr>
            <w:tcW w:type="dxa" w:w="136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Cadence &amp; SLA</w:t>
            </w:r>
          </w:p>
        </w:tc>
        <w:tc>
          <w:tcPr>
            <w:tcW w:type="dxa" w:w="10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Quality</w:t>
            </w:r>
          </w:p>
        </w:tc>
        <w:tc>
          <w:tcPr>
            <w:tcW w:type="dxa" w:w="126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Sensitivity</w:t>
            </w:r>
          </w:p>
        </w:tc>
        <w:tc>
          <w:tcPr>
            <w:tcW w:type="dxa" w:w="141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Surfaces</w:t>
            </w:r>
          </w:p>
        </w:tc>
        <w:tc>
          <w:tcPr>
            <w:tcW w:type="dxa" w:w="156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Agents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DP-TEL-001</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Billing · CRM · Network usage · Care tickets</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Daily 06:00, p95 45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94 Exemplary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Confidential (PII)</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REST · MCP</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AG-TEL-001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DP-TEL-002</w:t>
            </w:r>
          </w:p>
        </w:tc>
        <w:tc>
          <w:tcPr>
            <w:tcW w:type="dxa" w:w="236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RAN OSS · Fault mgmt · Geo reference</w:t>
            </w:r>
          </w:p>
        </w:tc>
        <w:tc>
          <w:tcPr>
            <w:tcW w:type="dxa" w:w="13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Hourly, p95 12 min</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88 Healthy</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Internal</w:t>
            </w:r>
          </w:p>
        </w:tc>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 · Stream</w:t>
            </w:r>
          </w:p>
        </w:tc>
        <w:tc>
          <w:tcPr>
            <w:tcW w:type="dxa" w:w="156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AG-TEL-001, AG-TEL-002</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DP-TCH-001</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Product telemetry · CRM · Entitlements · Billing</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Hourly, p95 20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91 Exemplary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Internal</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REST · MCP</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AG-TCH-001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DP-BNK-001</w:t>
            </w:r>
          </w:p>
        </w:tc>
        <w:tc>
          <w:tcPr>
            <w:tcW w:type="dxa" w:w="236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Core banking · Cards · Wealth · Digital channel</w:t>
            </w:r>
          </w:p>
        </w:tc>
        <w:tc>
          <w:tcPr>
            <w:tcW w:type="dxa" w:w="13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Daily 05:00, p95 60 min</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96 Exemplary</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Restricted (PII)</w:t>
            </w:r>
          </w:p>
        </w:tc>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 · Share</w:t>
            </w:r>
          </w:p>
        </w:tc>
        <w:tc>
          <w:tcPr>
            <w:tcW w:type="dxa" w:w="156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AG-BNK-001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DP-BNK-002</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Payments · Sanctions screening · Case mgmt</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15 min, p95 6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93 Exemplary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Restricted</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AG-BNK-002</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DP-INS-001</w:t>
            </w:r>
          </w:p>
        </w:tc>
        <w:tc>
          <w:tcPr>
            <w:tcW w:type="dxa" w:w="236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Claims admin · Payments · Adjuster notes · Salvage</w:t>
            </w:r>
          </w:p>
        </w:tc>
        <w:tc>
          <w:tcPr>
            <w:tcW w:type="dxa" w:w="13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Daily 04:00, p95 40 min</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90 Exemplary</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Confidential (PII)</w:t>
            </w:r>
          </w:p>
        </w:tc>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REST · MCP</w:t>
            </w:r>
          </w:p>
        </w:tc>
        <w:tc>
          <w:tcPr>
            <w:tcW w:type="dxa" w:w="156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AG-INS-001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DP-INS-002</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Policy admin · Rating engine · Reinsurance</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Daily 04:30, p95 35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89 Healthy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Confidential</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AG-INS-001, AG-INS-002</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DP-HLT-001</w:t>
            </w:r>
          </w:p>
        </w:tc>
        <w:tc>
          <w:tcPr>
            <w:tcW w:type="dxa" w:w="236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EHR · ADT feed · Claims · Scheduling</w:t>
            </w:r>
          </w:p>
        </w:tc>
        <w:tc>
          <w:tcPr>
            <w:tcW w:type="dxa" w:w="13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4 hours, p95 25 min</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92 Exemplary</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Restricted (PHI)</w:t>
            </w:r>
          </w:p>
        </w:tc>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w:t>
            </w:r>
          </w:p>
        </w:tc>
        <w:tc>
          <w:tcPr>
            <w:tcW w:type="dxa" w:w="156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AG-HLT-001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DP-HLT-002</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Pharmacy system · ERP inventory · Formulary</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Daily 03:00, p95 30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87 Healthy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Confidential</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REST · MCP</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AG-HLT-002</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DP-RTL-001</w:t>
            </w:r>
          </w:p>
        </w:tc>
        <w:tc>
          <w:tcPr>
            <w:tcW w:type="dxa" w:w="236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POS · E-commerce · Loyalty · Promotions</w:t>
            </w:r>
          </w:p>
        </w:tc>
        <w:tc>
          <w:tcPr>
            <w:tcW w:type="dxa" w:w="13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Hourly, p95 15 min</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95 Exemplary</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Internal</w:t>
            </w:r>
          </w:p>
        </w:tc>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REST · MCP</w:t>
            </w:r>
          </w:p>
        </w:tc>
        <w:tc>
          <w:tcPr>
            <w:tcW w:type="dxa" w:w="156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AG-RTL-001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DP-RTL-002</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WMS · ERP · Demand forecast · Store ops</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2 hours, p95 18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89 Healthy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Internal</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 · Stream</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AG-RTL-001, AG-RTL-002</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DP-TRN-001</w:t>
            </w:r>
          </w:p>
        </w:tc>
        <w:tc>
          <w:tcPr>
            <w:tcW w:type="dxa" w:w="236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TMS · Telematics · ELD · Fuel cards</w:t>
            </w:r>
          </w:p>
        </w:tc>
        <w:tc>
          <w:tcPr>
            <w:tcW w:type="dxa" w:w="13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30 min, p95 8 min</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86 Healthy</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Internal</w:t>
            </w:r>
          </w:p>
        </w:tc>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 · Stream</w:t>
            </w:r>
          </w:p>
        </w:tc>
        <w:tc>
          <w:tcPr>
            <w:tcW w:type="dxa" w:w="156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AG-TRN-001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DP-UTL-001</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SCADA · OMS · Asset registry · Work mgmt</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15 min, p95 7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91 Exemplary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Internal</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 · Stream</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AG-UTL-001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DP-ENG-001</w:t>
            </w:r>
          </w:p>
        </w:tc>
        <w:tc>
          <w:tcPr>
            <w:tcW w:type="dxa" w:w="236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AMI head-end · Billing · Tariff reference</w:t>
            </w:r>
          </w:p>
        </w:tc>
        <w:tc>
          <w:tcPr>
            <w:tcW w:type="dxa" w:w="13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Daily 02:00, p95 50 min</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88 Healthy</w:t>
            </w:r>
          </w:p>
        </w:tc>
        <w:tc>
          <w:tcPr>
            <w:tcW w:type="dxa" w:w="126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Confidential (PII)</w:t>
            </w:r>
          </w:p>
        </w:tc>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MCP</w:t>
            </w:r>
          </w:p>
        </w:tc>
        <w:tc>
          <w:tcPr>
            <w:tcW w:type="dxa" w:w="156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AG-UTL-001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DP-MFG-001</w:t>
            </w:r>
          </w:p>
        </w:tc>
        <w:tc>
          <w:tcPr>
            <w:tcW w:type="dxa" w:w="236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MES · Historian · Quality system · CMMS</w:t>
            </w:r>
          </w:p>
        </w:tc>
        <w:tc>
          <w:tcPr>
            <w:tcW w:type="dxa" w:w="13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Per shift close, p95 20 min</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90 Exemplary</w:t>
            </w:r>
          </w:p>
        </w:tc>
        <w:tc>
          <w:tcPr>
            <w:tcW w:type="dxa" w:w="126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Internal</w:t>
            </w:r>
          </w:p>
        </w:tc>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SQL · REST · MCP</w:t>
            </w:r>
          </w:p>
        </w:tc>
        <w:tc>
          <w:tcPr>
            <w:tcW w:type="dxa" w:w="156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AG-MFG-001</w:t>
            </w:r>
          </w:p>
        </w:tc>
      </w:tr>
    </w:tbl>
    <w:p>
      <w:pPr>
        <w:pStyle w:val="Heading2"/>
        <w:spacing w:after="120" w:before="280"/>
      </w:pPr>
      <w:r>
        <w:rPr>
          <w:rFonts w:ascii="Calibri" w:cs="Calibri" w:eastAsia="Calibri" w:hAnsi="Calibri"/>
          <w:b/>
          <w:bCs/>
          <w:color w:val="117A8B"/>
          <w:sz w:val="25"/>
          <w:szCs w:val="25"/>
        </w:rPr>
        <w:t xml:space="preserve">25.3 Seed Value Cases</w:t>
      </w:r>
    </w:p>
    <w:p>
      <w:pPr>
        <w:spacing w:after="120" w:line="276"/>
        <w:jc w:val="left"/>
      </w:pPr>
      <w:r>
        <w:rPr>
          <w:rFonts w:ascii="Calibri" w:cs="Calibri" w:eastAsia="Calibri" w:hAnsi="Calibri"/>
          <w:b w:val="false"/>
          <w:bCs w:val="false"/>
          <w:i w:val="false"/>
          <w:iCs w:val="false"/>
          <w:color w:val="1F2A33"/>
          <w:sz w:val="21"/>
          <w:szCs w:val="21"/>
        </w:rPr>
        <w:t xml:space="preserve">Each seed product ships with a complete value case in the Section 18 structure. Headline benefit models, with all assumptions stated in the manifest: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058"/>
        <w:gridCol w:w="4183"/>
        <w:gridCol w:w="4839"/>
      </w:tblGrid>
      <w:tr>
        <w:trPr>
          <w:tblHeader/>
        </w:trPr>
        <w:tc>
          <w:tcPr>
            <w:tcW w:type="dxa" w:w="10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ID</w:t>
            </w:r>
          </w:p>
        </w:tc>
        <w:tc>
          <w:tcPr>
            <w:tcW w:type="dxa" w:w="418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Business outcome</w:t>
            </w:r>
          </w:p>
        </w:tc>
        <w:tc>
          <w:tcPr>
            <w:tcW w:type="dxa" w:w="483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Benefit model headline</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DP-TEL-001</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Retention teams target save offers at subscribers genuinely at risk instead of by tenure band</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Save-offer precision improvement × contribution margin per retained subscriber, less offer cost</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DP-TEL-002</w:t>
            </w:r>
          </w:p>
        </w:tc>
        <w:tc>
          <w:tcPr>
            <w:tcW w:type="dxa" w:w="418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Field engineering prioritizes sites by customer impact rather than by alarm count</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Impacted subscriber-hours avoided × churn elasticity per impacted hour</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DP-TCH-001</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Customer success intervenes on adoption stall before renewal risk materializes</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At-risk ARR identified early × historical save rate on early intervention</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DP-BNK-001</w:t>
            </w:r>
          </w:p>
        </w:tc>
        <w:tc>
          <w:tcPr>
            <w:tcW w:type="dxa" w:w="418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Relationship managers see whole-customer value across lines of business before pricing decisions</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Cross-sell conversion uplift + attrition avoided on high-value households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DP-BNK-002</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Investigators work the alerts most likely to convert instead of the queue in arrival order</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Investigator hours redirected × loaded rate + regulatory backlog risk reduction</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DP-INS-001</w:t>
            </w:r>
          </w:p>
        </w:tc>
        <w:tc>
          <w:tcPr>
            <w:tcW w:type="dxa" w:w="418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Claims leadership sees leakage drivers by adjuster, coverage and cycle stage within days, not quarters</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Leakage basis points recovered × claims paid</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DP-INS-002</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Underwriting sees rate adequacy and concentration before binding rather than at quarter end</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Loss-ratio improvement on repriced segments + capital efficiency from concentration control</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DP-HLT-001</w:t>
            </w:r>
          </w:p>
        </w:tc>
        <w:tc>
          <w:tcPr>
            <w:tcW w:type="dxa" w:w="418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Care management targets discharge follow-up at patients with genuine readmission risk</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Readmissions avoided × average penalty and cost per readmission</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DP-HLT-002</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Pharmacy reduces stockouts and waste simultaneously by seeing utilization and inventory together</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Waste reduction + substitution avoidance + stockout-driven expedite cost avoided</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DP-RTL-001</w:t>
            </w:r>
          </w:p>
        </w:tc>
        <w:tc>
          <w:tcPr>
            <w:tcW w:type="dxa" w:w="418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Merchandising decisions move from weekly reporting cycles to same-day</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Margin improvement from faster markdown and assortment decisions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DP-RTL-002</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Replenishment responds to real demand signal rather than to average weekly movement</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Lost sales recovered × margin, less carrying cost of the added position</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DP-TRN-001</w:t>
            </w:r>
          </w:p>
        </w:tc>
        <w:tc>
          <w:tcPr>
            <w:tcW w:type="dxa" w:w="418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Operations sees the cost and service consequence of routing decisions on the same screen</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On-time improvement × penalty avoidance + cost per mile reduction</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DP-UTL-001</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Maintenance is scheduled by asset condition and customer impact rather than by calendar</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SAIDI minutes avoided × regulatory value per customer-minute + deferred replacement capital</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DP-ENG-001</w:t>
            </w:r>
          </w:p>
        </w:tc>
        <w:tc>
          <w:tcPr>
            <w:tcW w:type="dxa" w:w="418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Demand response and tariff design are grounded in actual load shape by segment</w:t>
            </w:r>
          </w:p>
        </w:tc>
        <w:tc>
          <w:tcPr>
            <w:tcW w:type="dxa" w:w="483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Peak demand reduction × avoided capacity cost + DR programme yield</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DP-MFG-001</w:t>
            </w:r>
          </w:p>
        </w:tc>
        <w:tc>
          <w:tcPr>
            <w:tcW w:type="dxa" w:w="418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Plant leadership sees the true driver of OEE loss by line and shift within one shift</w:t>
            </w:r>
          </w:p>
        </w:tc>
        <w:tc>
          <w:tcPr>
            <w:tcW w:type="dxa" w:w="483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Downtime hours recovered × contribution per production hour + scrap reduction</w:t>
            </w:r>
          </w:p>
        </w:tc>
      </w:tr>
    </w:tbl>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26. Seed Catalog — 14 AI Agents</w:t>
      </w:r>
    </w:p>
    <w:p>
      <w:pPr>
        <w:spacing w:after="120" w:line="276"/>
        <w:jc w:val="left"/>
      </w:pPr>
      <w:r>
        <w:rPr>
          <w:rFonts w:ascii="Calibri" w:cs="Calibri" w:eastAsia="Calibri" w:hAnsi="Calibri"/>
          <w:b w:val="false"/>
          <w:bCs w:val="false"/>
          <w:i w:val="false"/>
          <w:iCs w:val="false"/>
          <w:color w:val="1F2A33"/>
          <w:sz w:val="21"/>
          <w:szCs w:val="21"/>
        </w:rPr>
        <w:t xml:space="preserve">Every seed agent ships with a complete coverage map, an entitlement scope, an evaluation set, a value case, and the five curated demo exchanges specified in Section 27. Autonomy levels follow Section 10: L0 answers only, L1 answers with recommendations, L2 drafts actions for human approval, L3 executes scoped actions with audit.</w:t>
      </w:r>
    </w:p>
    <w:p>
      <w:pPr>
        <w:pStyle w:val="Heading2"/>
        <w:spacing w:after="120" w:before="280"/>
      </w:pPr>
      <w:r>
        <w:rPr>
          <w:rFonts w:ascii="Calibri" w:cs="Calibri" w:eastAsia="Calibri" w:hAnsi="Calibri"/>
          <w:b/>
          <w:bCs/>
          <w:color w:val="117A8B"/>
          <w:sz w:val="25"/>
          <w:szCs w:val="25"/>
        </w:rPr>
        <w:t xml:space="preserve">26.1 Agent Register</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058"/>
        <w:gridCol w:w="1562"/>
        <w:gridCol w:w="1058"/>
        <w:gridCol w:w="3982"/>
        <w:gridCol w:w="1865"/>
        <w:gridCol w:w="555"/>
      </w:tblGrid>
      <w:tr>
        <w:trPr>
          <w:tblHeader/>
        </w:trPr>
        <w:tc>
          <w:tcPr>
            <w:tcW w:type="dxa" w:w="10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ID</w:t>
            </w:r>
          </w:p>
        </w:tc>
        <w:tc>
          <w:tcPr>
            <w:tcW w:type="dxa" w:w="156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Agent</w:t>
            </w:r>
          </w:p>
        </w:tc>
        <w:tc>
          <w:tcPr>
            <w:tcW w:type="dxa" w:w="10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Industry</w:t>
            </w:r>
          </w:p>
        </w:tc>
        <w:tc>
          <w:tcPr>
            <w:tcW w:type="dxa" w:w="398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Capability statement</w:t>
            </w:r>
          </w:p>
        </w:tc>
        <w:tc>
          <w:tcPr>
            <w:tcW w:type="dxa" w:w="186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Data products</w:t>
            </w:r>
          </w:p>
        </w:tc>
        <w:tc>
          <w:tcPr>
            <w:tcW w:type="dxa" w:w="55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L</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AG-TEL-001</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Churn Sentinel</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Telecom</w:t>
            </w:r>
          </w:p>
        </w:tc>
        <w:tc>
          <w:tcPr>
            <w:tcW w:type="dxa" w:w="398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subscriber churn, retention performance and save-offer targeting, and explains what is driving churn movement.</w:t>
            </w:r>
          </w:p>
        </w:tc>
        <w:tc>
          <w:tcPr>
            <w:tcW w:type="dxa" w:w="18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DP-TEL-001, DP-TEL-002</w:t>
            </w:r>
          </w:p>
        </w:tc>
        <w:tc>
          <w:tcPr>
            <w:tcW w:type="dxa" w:w="5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AG-TEL-002</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Network Quality Advisor</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Telecom</w:t>
            </w:r>
          </w:p>
        </w:tc>
        <w:tc>
          <w:tcPr>
            <w:tcW w:type="dxa" w:w="398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network availability, degradation and fault resolution, ranked by customer impact rather than alarm volume.</w:t>
            </w:r>
          </w:p>
        </w:tc>
        <w:tc>
          <w:tcPr>
            <w:tcW w:type="dxa" w:w="18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DP-TEL-002</w:t>
            </w:r>
          </w:p>
        </w:tc>
        <w:tc>
          <w:tcPr>
            <w:tcW w:type="dxa" w:w="5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AG-TCH-001</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Product Adoption Analyst</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Technology</w:t>
            </w:r>
          </w:p>
        </w:tc>
        <w:tc>
          <w:tcPr>
            <w:tcW w:type="dxa" w:w="398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feature adoption, activation, time to value and accounts whose usage signals renewal risk.</w:t>
            </w:r>
          </w:p>
        </w:tc>
        <w:tc>
          <w:tcPr>
            <w:tcW w:type="dxa" w:w="18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DP-TCH-001</w:t>
            </w:r>
          </w:p>
        </w:tc>
        <w:tc>
          <w:tcPr>
            <w:tcW w:type="dxa" w:w="5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AG-BNK-001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Relationship Value Advisor</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Banking</w:t>
            </w:r>
          </w:p>
        </w:tc>
        <w:tc>
          <w:tcPr>
            <w:tcW w:type="dxa" w:w="398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household relationship value, product holdings, attrition risk and cross-sell opportunity.</w:t>
            </w:r>
          </w:p>
        </w:tc>
        <w:tc>
          <w:tcPr>
            <w:tcW w:type="dxa" w:w="18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DP-BNK-001</w:t>
            </w:r>
          </w:p>
        </w:tc>
        <w:tc>
          <w:tcPr>
            <w:tcW w:type="dxa" w:w="5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AG-BNK-002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Financial Crime Triage</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Banking</w:t>
            </w:r>
          </w:p>
        </w:tc>
        <w:tc>
          <w:tcPr>
            <w:tcW w:type="dxa" w:w="398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alert volume, false positives, SAR conversion and backlog, and drafts a prioritized investigation queue for approval.</w:t>
            </w:r>
          </w:p>
        </w:tc>
        <w:tc>
          <w:tcPr>
            <w:tcW w:type="dxa" w:w="18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DP-BNK-002</w:t>
            </w:r>
          </w:p>
        </w:tc>
        <w:tc>
          <w:tcPr>
            <w:tcW w:type="dxa" w:w="5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L2</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AG-INS-001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Claims Leakage Investigator</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Insurance</w:t>
            </w:r>
          </w:p>
        </w:tc>
        <w:tc>
          <w:tcPr>
            <w:tcW w:type="dxa" w:w="398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loss ratio, claims cycle time, severity and leakage, and ranks the drivers behind each movement.</w:t>
            </w:r>
          </w:p>
        </w:tc>
        <w:tc>
          <w:tcPr>
            <w:tcW w:type="dxa" w:w="18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DP-INS-001, DP-INS-002</w:t>
            </w:r>
          </w:p>
        </w:tc>
        <w:tc>
          <w:tcPr>
            <w:tcW w:type="dxa" w:w="5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AG-INS-002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Underwriting Portfolio Copilot</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Insurance</w:t>
            </w:r>
          </w:p>
        </w:tc>
        <w:tc>
          <w:tcPr>
            <w:tcW w:type="dxa" w:w="398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rate adequacy, retention, quote-to-bind and exposure concentration across the in-force portfolio.</w:t>
            </w:r>
          </w:p>
        </w:tc>
        <w:tc>
          <w:tcPr>
            <w:tcW w:type="dxa" w:w="18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DP-INS-002</w:t>
            </w:r>
          </w:p>
        </w:tc>
        <w:tc>
          <w:tcPr>
            <w:tcW w:type="dxa" w:w="5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AG-HLT-001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Readmission Risk Navigator</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Healthcare</w:t>
            </w:r>
          </w:p>
        </w:tc>
        <w:tc>
          <w:tcPr>
            <w:tcW w:type="dxa" w:w="398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operational questions about readmission rates, length of stay, discharge follow-up and care-transition programme performance.</w:t>
            </w:r>
          </w:p>
        </w:tc>
        <w:tc>
          <w:tcPr>
            <w:tcW w:type="dxa" w:w="18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DP-HLT-001</w:t>
            </w:r>
          </w:p>
        </w:tc>
        <w:tc>
          <w:tcPr>
            <w:tcW w:type="dxa" w:w="5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AG-HLT-002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Pharmacy Utilization Agent</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Healthcare</w:t>
            </w:r>
          </w:p>
        </w:tc>
        <w:tc>
          <w:tcPr>
            <w:tcW w:type="dxa" w:w="398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formulary adherence, stockout risk, waste and pharmacy cost, and drafts replenishment adjustments for approval.</w:t>
            </w:r>
          </w:p>
        </w:tc>
        <w:tc>
          <w:tcPr>
            <w:tcW w:type="dxa" w:w="18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DP-HLT-002</w:t>
            </w:r>
          </w:p>
        </w:tc>
        <w:tc>
          <w:tcPr>
            <w:tcW w:type="dxa" w:w="5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L2</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AG-RTL-001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Merchandising Performance Agent</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Retail</w:t>
            </w:r>
          </w:p>
        </w:tc>
        <w:tc>
          <w:tcPr>
            <w:tcW w:type="dxa" w:w="398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comparable sales, basket, margin and promotion performance, and explains category variance to plan.</w:t>
            </w:r>
          </w:p>
        </w:tc>
        <w:tc>
          <w:tcPr>
            <w:tcW w:type="dxa" w:w="18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DP-RTL-001, DP-RTL-002</w:t>
            </w:r>
          </w:p>
        </w:tc>
        <w:tc>
          <w:tcPr>
            <w:tcW w:type="dxa" w:w="5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AG-RTL-002</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Inventory Availability Agent</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Retail</w:t>
            </w:r>
          </w:p>
        </w:tc>
        <w:tc>
          <w:tcPr>
            <w:tcW w:type="dxa" w:w="398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in-stock rate, weeks of supply, forecast accuracy and lost sales, and drafts transfer recommendations for approval.</w:t>
            </w:r>
          </w:p>
        </w:tc>
        <w:tc>
          <w:tcPr>
            <w:tcW w:type="dxa" w:w="18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DP-RTL-002</w:t>
            </w:r>
          </w:p>
        </w:tc>
        <w:tc>
          <w:tcPr>
            <w:tcW w:type="dxa" w:w="5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L2</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AG-TRN-001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Delivery SLA Sentinel</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Transportation</w:t>
            </w:r>
          </w:p>
        </w:tc>
        <w:tc>
          <w:tcPr>
            <w:tcW w:type="dxa" w:w="398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on-time delivery, dwell, utilization and cost per mile, and identifies customers at risk of SLA penalty.</w:t>
            </w:r>
          </w:p>
        </w:tc>
        <w:tc>
          <w:tcPr>
            <w:tcW w:type="dxa" w:w="18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DP-TRN-001</w:t>
            </w:r>
          </w:p>
        </w:tc>
        <w:tc>
          <w:tcPr>
            <w:tcW w:type="dxa" w:w="5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AG-UTL-001</w:t>
            </w:r>
          </w:p>
        </w:tc>
        <w:tc>
          <w:tcPr>
            <w:tcW w:type="dxa" w:w="15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Outage Impact Analyst</w:t>
            </w:r>
          </w:p>
        </w:tc>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Utilities &amp; Energy</w:t>
            </w:r>
          </w:p>
        </w:tc>
        <w:tc>
          <w:tcPr>
            <w:tcW w:type="dxa" w:w="398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SAIDI, SAIFI, asset health and outage impact, and ranks maintenance by customer-minute risk.</w:t>
            </w:r>
          </w:p>
        </w:tc>
        <w:tc>
          <w:tcPr>
            <w:tcW w:type="dxa" w:w="186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DP-UTL-001, DP-ENG-001</w:t>
            </w:r>
          </w:p>
        </w:tc>
        <w:tc>
          <w:tcPr>
            <w:tcW w:type="dxa" w:w="55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AG-MFG-001</w:t>
            </w:r>
          </w:p>
        </w:tc>
        <w:tc>
          <w:tcPr>
            <w:tcW w:type="dxa" w:w="15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Yield &amp; Downtime Analyst</w:t>
            </w:r>
          </w:p>
        </w:tc>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Manufacturing</w:t>
            </w:r>
          </w:p>
        </w:tc>
        <w:tc>
          <w:tcPr>
            <w:tcW w:type="dxa" w:w="398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Answers questions about OEE, first pass yield, downtime reasons and scrap, and decomposes losses by line, shift and product.</w:t>
            </w:r>
          </w:p>
        </w:tc>
        <w:tc>
          <w:tcPr>
            <w:tcW w:type="dxa" w:w="186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DP-MFG-001</w:t>
            </w:r>
          </w:p>
        </w:tc>
        <w:tc>
          <w:tcPr>
            <w:tcW w:type="dxa" w:w="55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L1</w:t>
            </w:r>
          </w:p>
        </w:tc>
      </w:tr>
    </w:tbl>
    <w:p>
      <w:pPr>
        <w:pStyle w:val="Heading2"/>
        <w:spacing w:after="120" w:before="280"/>
      </w:pPr>
      <w:r>
        <w:rPr>
          <w:rFonts w:ascii="Calibri" w:cs="Calibri" w:eastAsia="Calibri" w:hAnsi="Calibri"/>
          <w:b/>
          <w:bCs/>
          <w:color w:val="117A8B"/>
          <w:sz w:val="25"/>
          <w:szCs w:val="25"/>
        </w:rPr>
        <w:t xml:space="preserve">26.2 Coverage, Scope &amp; Value Profile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058"/>
        <w:gridCol w:w="2671"/>
        <w:gridCol w:w="3377"/>
        <w:gridCol w:w="2974"/>
      </w:tblGrid>
      <w:tr>
        <w:trPr>
          <w:tblHeader/>
        </w:trPr>
        <w:tc>
          <w:tcPr>
            <w:tcW w:type="dxa" w:w="105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ID</w:t>
            </w:r>
          </w:p>
        </w:tc>
        <w:tc>
          <w:tcPr>
            <w:tcW w:type="dxa" w:w="267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KPIs covered</w:t>
            </w:r>
          </w:p>
        </w:tc>
        <w:tc>
          <w:tcPr>
            <w:tcW w:type="dxa" w:w="3377"/>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Explicitly out of scope</w:t>
            </w:r>
          </w:p>
        </w:tc>
        <w:tc>
          <w:tcPr>
            <w:tcW w:type="dxa" w:w="297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Seed value headline</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AG-TEL-001</w:t>
            </w:r>
          </w:p>
        </w:tc>
        <w:tc>
          <w:tcPr>
            <w:tcW w:type="dxa" w:w="267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Churn Rate · Retention Rate · Save Rate · Tenure · Propensity Decile</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Individual subscriber credit decisions; pricing approval; anything requiring billing write-back</w:t>
            </w:r>
          </w:p>
        </w:tc>
        <w:tc>
          <w:tcPr>
            <w:tcW w:type="dxa" w:w="297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~310 analyst hours deflected per month at 91% acceptance</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AG-TEL-002</w:t>
            </w:r>
          </w:p>
        </w:tc>
        <w:tc>
          <w:tcPr>
            <w:tcW w:type="dxa" w:w="267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Availability · Dropped Call Rate · Throughput · Fault MTTR · Impacted Subscriber Hours</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Radio parameter changes; work-order creation; capital planning approval</w:t>
            </w:r>
          </w:p>
        </w:tc>
        <w:tc>
          <w:tcPr>
            <w:tcW w:type="dxa" w:w="297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~180 hours deflected; median fault triage time down from 40 to 9 minutes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AG-TCH-001</w:t>
            </w:r>
          </w:p>
        </w:tc>
        <w:tc>
          <w:tcPr>
            <w:tcW w:type="dxa" w:w="267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DAU/MAU · Feature Adoption · Activation · Time to Value · NRR</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Contract or pricing commitments; individual user behaviour without consent basis</w:t>
            </w:r>
          </w:p>
        </w:tc>
        <w:tc>
          <w:tcPr>
            <w:tcW w:type="dxa" w:w="297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~240 hours deflected; 22% of at-risk ARR surfaced earlier than the prior process</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AG-BNK-001</w:t>
            </w:r>
          </w:p>
        </w:tc>
        <w:tc>
          <w:tcPr>
            <w:tcW w:type="dxa" w:w="267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Primary Bank Share · Products per Customer · CLV · Attrition Risk · Balance Growth</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Credit decisions; suitability advice; any individual customer recommendation without banker review</w:t>
            </w:r>
          </w:p>
        </w:tc>
        <w:tc>
          <w:tcPr>
            <w:tcW w:type="dxa" w:w="297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~420 hours deflected across 1,100 relationship managers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AG-BNK-002</w:t>
            </w:r>
          </w:p>
        </w:tc>
        <w:tc>
          <w:tcPr>
            <w:tcW w:type="dxa" w:w="267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Alert Volume · False Positive Rate · SAR Conversion · Cycle Time · Backlog Age</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Filing a SAR; closing an alert; naming a customer as suspicious</w:t>
            </w:r>
          </w:p>
        </w:tc>
        <w:tc>
          <w:tcPr>
            <w:tcW w:type="dxa" w:w="297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Investigator effort redirected to alerts with 3.1× higher conversion</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AG-INS-001</w:t>
            </w:r>
          </w:p>
        </w:tc>
        <w:tc>
          <w:tcPr>
            <w:tcW w:type="dxa" w:w="267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Loss Ratio · Cycle Time · Severity · Leakage Rate · Recovery Rate</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Coverage determination; settlement authority; individual adjuster performance ratings</w:t>
            </w:r>
          </w:p>
        </w:tc>
        <w:tc>
          <w:tcPr>
            <w:tcW w:type="dxa" w:w="297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~260 hours deflected; leakage drivers identified within days of month close</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AG-INS-002</w:t>
            </w:r>
          </w:p>
        </w:tc>
        <w:tc>
          <w:tcPr>
            <w:tcW w:type="dxa" w:w="267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Written Premium · Retention · Quote-to-Bind · Rate Adequacy · Concentration</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Binding authority; rate filing; individual risk acceptance</w:t>
            </w:r>
          </w:p>
        </w:tc>
        <w:tc>
          <w:tcPr>
            <w:tcW w:type="dxa" w:w="297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~200 hours deflected; concentration breaches surfaced pre-bind</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AG-HLT-001</w:t>
            </w:r>
          </w:p>
        </w:tc>
        <w:tc>
          <w:tcPr>
            <w:tcW w:type="dxa" w:w="267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30-Day Readmission · ALOS · ED Utilization · Care Gap Closure · Follow-up Interval</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Any individual clinical recommendation, diagnosis or treatment guidance; patient-level advice</w:t>
            </w:r>
          </w:p>
        </w:tc>
        <w:tc>
          <w:tcPr>
            <w:tcW w:type="dxa" w:w="297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~190 hours deflected across care management and quality teams</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AG-HLT-002</w:t>
            </w:r>
          </w:p>
        </w:tc>
        <w:tc>
          <w:tcPr>
            <w:tcW w:type="dxa" w:w="267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Formulary Adherence · Stockout Rate · Cost per Patient Day · Waste Rate · Substitution</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Clinical substitution decisions; ordering without pharmacist approval</w:t>
            </w:r>
          </w:p>
        </w:tc>
        <w:tc>
          <w:tcPr>
            <w:tcW w:type="dxa" w:w="297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~150 hours deflected; drafted replenishments accepted at 78%</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AG-RTL-001</w:t>
            </w:r>
          </w:p>
        </w:tc>
        <w:tc>
          <w:tcPr>
            <w:tcW w:type="dxa" w:w="267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Comp Sales · Basket Value · Conversion · Margin Rate · Promotion Lift</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Price changes; markdown execution; vendor negotiation positions</w:t>
            </w:r>
          </w:p>
        </w:tc>
        <w:tc>
          <w:tcPr>
            <w:tcW w:type="dxa" w:w="297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~380 hours deflected; category reviews shortened from 3 days to same-day</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AG-RTL-002</w:t>
            </w:r>
          </w:p>
        </w:tc>
        <w:tc>
          <w:tcPr>
            <w:tcW w:type="dxa" w:w="267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In-Stock Rate · Weeks of Supply · Sell-Through · Forecast MAPE · Lost Sales</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Executing transfers or purchase orders without planner approval</w:t>
            </w:r>
          </w:p>
        </w:tc>
        <w:tc>
          <w:tcPr>
            <w:tcW w:type="dxa" w:w="297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~290 hours deflected; drafted transfers accepted at 71%</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AG-TRN-001</w:t>
            </w:r>
          </w:p>
        </w:tc>
        <w:tc>
          <w:tcPr>
            <w:tcW w:type="dxa" w:w="267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On-Time Delivery · Cost per Mile · Dwell · Utilization · Exception Rate</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Dispatch changes; carrier contracting; driver performance actions</w:t>
            </w:r>
          </w:p>
        </w:tc>
        <w:tc>
          <w:tcPr>
            <w:tcW w:type="dxa" w:w="297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~210 hours deflected; penalty exposure identified 6 days earlier on average</w:t>
            </w:r>
          </w:p>
        </w:tc>
      </w:tr>
      <w:tr>
        <w:tc>
          <w:tcPr>
            <w:tcW w:type="dxa" w:w="105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AG-UTL-001</w:t>
            </w:r>
          </w:p>
        </w:tc>
        <w:tc>
          <w:tcPr>
            <w:tcW w:type="dxa" w:w="267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SAIDI · SAIFI · Asset Health Index · Restoration Time · PM Compliance</w:t>
            </w:r>
          </w:p>
        </w:tc>
        <w:tc>
          <w:tcPr>
            <w:tcW w:type="dxa" w:w="337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Switching orders; crew dispatch; regulatory filings</w:t>
            </w:r>
          </w:p>
        </w:tc>
        <w:tc>
          <w:tcPr>
            <w:tcW w:type="dxa" w:w="297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~230 hours deflected; storm impact assessment reduced from 2 days to 3 hours</w:t>
            </w:r>
          </w:p>
        </w:tc>
      </w:tr>
      <w:tr>
        <w:tc>
          <w:tcPr>
            <w:tcW w:type="dxa" w:w="105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AG-MFG-001</w:t>
            </w:r>
          </w:p>
        </w:tc>
        <w:tc>
          <w:tcPr>
            <w:tcW w:type="dxa" w:w="267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OEE · First Pass Yield · Unplanned Downtime · Scrap Rate · Changeover Time</w:t>
            </w:r>
          </w:p>
        </w:tc>
        <w:tc>
          <w:tcPr>
            <w:tcW w:type="dxa" w:w="337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Equipment parameter changes; maintenance scheduling without planner approval</w:t>
            </w:r>
          </w:p>
        </w:tc>
        <w:tc>
          <w:tcPr>
            <w:tcW w:type="dxa" w:w="297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~270 hours deflected; shift-level loss attribution available at shift close</w:t>
            </w:r>
          </w:p>
        </w:tc>
      </w:tr>
    </w:tbl>
    <w:p>
      <w:pPr>
        <w:pStyle w:val="Heading2"/>
        <w:spacing w:after="120" w:before="280"/>
      </w:pPr>
      <w:r>
        <w:rPr>
          <w:rFonts w:ascii="Calibri" w:cs="Calibri" w:eastAsia="Calibri" w:hAnsi="Calibri"/>
          <w:b/>
          <w:bCs/>
          <w:color w:val="117A8B"/>
          <w:sz w:val="25"/>
          <w:szCs w:val="25"/>
        </w:rPr>
        <w:t xml:space="preserve">26.3 Publish Gate for Agents</w:t>
      </w:r>
    </w:p>
    <w:p>
      <w:pPr>
        <w:spacing w:after="120" w:line="276"/>
        <w:jc w:val="left"/>
      </w:pPr>
      <w:r>
        <w:rPr>
          <w:rFonts w:ascii="Calibri" w:cs="Calibri" w:eastAsia="Calibri" w:hAnsi="Calibri"/>
          <w:b w:val="false"/>
          <w:bCs w:val="false"/>
          <w:i w:val="false"/>
          <w:iCs w:val="false"/>
          <w:color w:val="1F2A33"/>
          <w:sz w:val="21"/>
          <w:szCs w:val="21"/>
        </w:rPr>
        <w:t xml:space="preserve">An agent cannot be published until every item below passes. The gate runs in CI and its result is displayed on the agent detail page.</w:t>
      </w:r>
    </w:p>
    <w:p>
      <w:pPr>
        <w:pStyle w:val="ListParagraph"/>
        <w:numPr>
          <w:ilvl w:val="0"/>
          <w:numId w:val="2"/>
        </w:numPr>
        <w:spacing w:after="70" w:line="268"/>
      </w:pPr>
      <w:r>
        <w:rPr>
          <w:rFonts w:ascii="Calibri" w:cs="Calibri" w:eastAsia="Calibri" w:hAnsi="Calibri"/>
          <w:color w:val="1F2A33"/>
          <w:sz w:val="21"/>
          <w:szCs w:val="21"/>
        </w:rPr>
        <w:t xml:space="preserve">Capability statement, business-value block and explicit out-of-scope list all present and non-trivial.</w:t>
      </w:r>
    </w:p>
    <w:p>
      <w:pPr>
        <w:pStyle w:val="ListParagraph"/>
        <w:numPr>
          <w:ilvl w:val="0"/>
          <w:numId w:val="2"/>
        </w:numPr>
        <w:spacing w:after="70" w:line="268"/>
      </w:pPr>
      <w:r>
        <w:rPr>
          <w:rFonts w:ascii="Calibri" w:cs="Calibri" w:eastAsia="Calibri" w:hAnsi="Calibri"/>
          <w:color w:val="1F2A33"/>
          <w:sz w:val="21"/>
          <w:szCs w:val="21"/>
        </w:rPr>
        <w:t xml:space="preserve">Coverage map complete: every KPI row cites an existing certified definition ID and names a source product and column set.</w:t>
      </w:r>
    </w:p>
    <w:p>
      <w:pPr>
        <w:pStyle w:val="ListParagraph"/>
        <w:numPr>
          <w:ilvl w:val="0"/>
          <w:numId w:val="2"/>
        </w:numPr>
        <w:spacing w:after="70" w:line="268"/>
      </w:pPr>
      <w:r>
        <w:rPr>
          <w:rFonts w:ascii="Calibri" w:cs="Calibri" w:eastAsia="Calibri" w:hAnsi="Calibri"/>
          <w:color w:val="1F2A33"/>
          <w:sz w:val="21"/>
          <w:szCs w:val="21"/>
        </w:rPr>
        <w:t xml:space="preserve">At least five curated demo exchanges, each validated against a golden answer within tolerance in the last seven days.</w:t>
      </w:r>
    </w:p>
    <w:p>
      <w:pPr>
        <w:pStyle w:val="ListParagraph"/>
        <w:numPr>
          <w:ilvl w:val="0"/>
          <w:numId w:val="2"/>
        </w:numPr>
        <w:spacing w:after="70" w:line="268"/>
      </w:pPr>
      <w:r>
        <w:rPr>
          <w:rFonts w:ascii="Calibri" w:cs="Calibri" w:eastAsia="Calibri" w:hAnsi="Calibri"/>
          <w:color w:val="1F2A33"/>
          <w:sz w:val="21"/>
          <w:szCs w:val="21"/>
        </w:rPr>
        <w:t xml:space="preserve">Entitlement scope reviewed and approved; classification coverage verified — no reachable column carries a tag the scope does not permit.</w:t>
      </w:r>
    </w:p>
    <w:p>
      <w:pPr>
        <w:pStyle w:val="ListParagraph"/>
        <w:numPr>
          <w:ilvl w:val="0"/>
          <w:numId w:val="2"/>
        </w:numPr>
        <w:spacing w:after="70" w:line="268"/>
      </w:pPr>
      <w:r>
        <w:rPr>
          <w:rFonts w:ascii="Calibri" w:cs="Calibri" w:eastAsia="Calibri" w:hAnsi="Calibri"/>
          <w:color w:val="1F2A33"/>
          <w:sz w:val="21"/>
          <w:szCs w:val="21"/>
        </w:rPr>
        <w:t xml:space="preserve">Compositional exposure check passed where the agent invokes other agents.</w:t>
      </w:r>
    </w:p>
    <w:p>
      <w:pPr>
        <w:pStyle w:val="ListParagraph"/>
        <w:numPr>
          <w:ilvl w:val="0"/>
          <w:numId w:val="2"/>
        </w:numPr>
        <w:spacing w:after="70" w:line="268"/>
      </w:pPr>
      <w:r>
        <w:rPr>
          <w:rFonts w:ascii="Calibri" w:cs="Calibri" w:eastAsia="Calibri" w:hAnsi="Calibri"/>
          <w:color w:val="1F2A33"/>
          <w:sz w:val="21"/>
          <w:szCs w:val="21"/>
        </w:rPr>
        <w:t xml:space="preserve">Evaluation suite present with a documented pass threshold; current run above threshold.</w:t>
      </w:r>
    </w:p>
    <w:p>
      <w:pPr>
        <w:pStyle w:val="ListParagraph"/>
        <w:numPr>
          <w:ilvl w:val="0"/>
          <w:numId w:val="2"/>
        </w:numPr>
        <w:spacing w:after="70" w:line="268"/>
      </w:pPr>
      <w:r>
        <w:rPr>
          <w:rFonts w:ascii="Calibri" w:cs="Calibri" w:eastAsia="Calibri" w:hAnsi="Calibri"/>
          <w:color w:val="1F2A33"/>
          <w:sz w:val="21"/>
          <w:szCs w:val="21"/>
        </w:rPr>
        <w:t xml:space="preserve">Grounding check: no evaluation case produces an uncited numeric claim.</w:t>
      </w:r>
    </w:p>
    <w:p>
      <w:pPr>
        <w:pStyle w:val="ListParagraph"/>
        <w:numPr>
          <w:ilvl w:val="0"/>
          <w:numId w:val="2"/>
        </w:numPr>
        <w:spacing w:after="70" w:line="268"/>
      </w:pPr>
      <w:r>
        <w:rPr>
          <w:rFonts w:ascii="Calibri" w:cs="Calibri" w:eastAsia="Calibri" w:hAnsi="Calibri"/>
          <w:color w:val="1F2A33"/>
          <w:sz w:val="21"/>
          <w:szCs w:val="21"/>
        </w:rPr>
        <w:t xml:space="preserve">Owner, on-call rotation and escalation path recorded; value case authored with assumptions stated.</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27. Demo Question Bank — 70 Scripted Exchanges</w:t>
      </w:r>
    </w:p>
    <w:p>
      <w:pPr>
        <w:spacing w:after="120" w:line="276"/>
        <w:jc w:val="left"/>
      </w:pPr>
      <w:r>
        <w:rPr>
          <w:rFonts w:ascii="Calibri" w:cs="Calibri" w:eastAsia="Calibri" w:hAnsi="Calibri"/>
          <w:b w:val="false"/>
          <w:bCs w:val="false"/>
          <w:i w:val="false"/>
          <w:iCs w:val="false"/>
          <w:color w:val="1F2A33"/>
          <w:sz w:val="21"/>
          <w:szCs w:val="21"/>
        </w:rPr>
        <w:t xml:space="preserve">Five exchanges per agent, authored as data in the agent manifest and validated nightly against golden answers. Headlines below are illustrative of the shape and specificity required; the live values come from the demo-tier dataset. Every answer renders with the KPI definition used, an as-of timestamp, and citations to the source products.</w:t>
      </w:r>
    </w:p>
    <w:p>
      <w:pPr>
        <w:pStyle w:val="Heading3"/>
        <w:spacing w:after="90" w:before="220"/>
      </w:pPr>
      <w:r>
        <w:rPr>
          <w:rFonts w:ascii="Calibri" w:cs="Calibri" w:eastAsia="Calibri" w:hAnsi="Calibri"/>
          <w:b/>
          <w:bCs/>
          <w:color w:val="0B2C4D"/>
          <w:sz w:val="22"/>
          <w:szCs w:val="22"/>
        </w:rPr>
        <w:t xml:space="preserve">AG-TEL-001 — Churn Sentinel</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our churn rate this quarter and how does it compare to last?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Churn is 1.72% quarter to date, up 0.28 pp on Q2. The increase is concentrated in the 13–18 month tenure band, which accounts for 63% of the movement.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Period comparison · line + delta callout</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customer segments drove the churn increase last quarter?</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Postpaid family plans in the Midwest contributed 47% of the increase, rising 3.1 pp after the June plan change; every other segment moved less than 0.4 pp.</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Driver ranking · waterfall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Are network issues contributing to churn in the Midwest?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Subscribers with more than four service-impacted hours in the prior 30 days churn at 2.9× the regional baseline, and 61% of them are served by just 12 degraded sites.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Correlation · scatter + site table</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subscribers should we prioritise for a save offer this week?</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8,412 subscribers sit in the top propensity decile with contract expiry inside 30 days and lifetime value above $1,100 — 71% higher expected save value than the current tenure-based list.</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Cohort targeting · ranked table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Did the May retention campaign actually work?</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treated cohort churned at 1.31% against 1.86% for a matched control over 90 days — a 0.55 pp save at $34 cost per subscriber retained.</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Cohort comparison · dual line</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AG-TEL-002 — Network Quality Advisor</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sites had the worst customer impact yesterday?</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Ten sites account for 68% of impacted subscriber-hours, led by three Denver-cluster sites at 14,200 hours combined — all showing sector congestion rather than hardware fault.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Impact ranking · bar + map</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driving the throughput drop in the Denver cluster?</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p50 throughput fell 34% between 18:00 and 21:00 on three sectors; backhaul utilization exceeded 92% in the same window while radio availability stayed at 99.8%.</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Root cause · time-series overlay</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does availability compare across regions this month?</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Availability ranges from 99.94% in the Northeast to 99.61% in the Mountain region; the gap is entirely explained by two multi-day fibre events.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Comparison · small multiples</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faults are recurring on the same assets?</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23 sites logged three or more faults of the same class within 60 days, concentrated in two equipment generations — a repeat-fault pattern that preventive replacement would address.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Pattern detection · table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our MTTR trend and where is it worst?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MTTR improved from 4.8 to 3.9 hours over six months, but rural Mountain-region faults remain at 9.2 hours, driven by travel time rather than diagnosis.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Trend + segmentation · line + box</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AG-TCH-001 — Product Adoption Analyst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features are driving activation this quarter?</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Three features appear in 82% of accounts that activated within 14 days; accounts that skip the second of them activate 3.2× slower.</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Driver ranking · bar + funnel</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accounts show adoption decline ahead of renewal?</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47 accounts representing $4.1M ARR show a 30%+ decline in weekly active users over 60 days with renewal inside 120 days.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Risk cohort · ranked table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long does a new account take to reach first value?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Median time to value is 11 days, but the enterprise segment sits at 26 days — driven by SSO configuration, which blocks 41% of enterprise onboardings.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Distribution · histogram + segment split</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Did the March onboarding change improve activation?</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Activation within 14 days rose from 44% to 58% for cohorts after the change, holding across segments; the effect is stable over four monthly cohorts.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Cohort comparison · cohort curve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features have high usage but low entitlement coverage?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Four features are used by accounts on plans that do not include them, worth an estimated $2.3M in expansion if converted to paid entitlement.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Gap analysis · matrix</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AG-BNK-001 — Relationship Value Advisor</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Who are my top 20 households by relationship value in the Southeast?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top 20 households hold $187M in combined balances and average 4.2 products; six of them have declining primary-bank share.</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Ranking · table with trend sparklines</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high-value customers show attrition risk this month?</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312 households above $250K in balances moved into the elevated attrition band, most commonly after a direct-deposit redirection event.</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Risk cohort · ranked table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our primary bank share trend by segment?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Primary-bank share is flat overall at 61% but has fallen 4 pp in the 25–34 segment over 12 months while rising 2 pp in 55+.</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Trend by segment · line</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single-product customers show strong balance growth?</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4,180 customers hold only a deposit relationship yet grew balances more than 25% year over year — the highest-yield cross-sell pool in the book.</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Opportunity cohort · table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did deposit balances shift after the April rate change?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Balances fell 2.1% overall in the following 60 days, with 78% of the outflow from rate-sensitive households already flagged in the attrition band.</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Event impact · before/after line</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AG-BNK-002 — Financial Crime Triage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the alert backlog and its age profile?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4,120 alerts are open; 640 exceed the 30-day SLA, concentrated in two typologies that grew after the June rule change.</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Backlog profile · stacked age bars</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typologies have the highest false positive rate?</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Structuring-pattern alerts convert at 1.2% against a 4.8% portfolio average, producing 38% of investigator hours for 9% of outcomes.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Efficiency ranking · bar</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alerts should be worked first today?</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 ranked queue of 180 alerts with 3.1× the baseline conversion likelihood, drafted for supervisor approval before assignment.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Prioritization · ranked queue (drafted, requires approval)</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Has SAR conversion changed since the June rule tuning?</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Conversion rose from 3.9% to 5.6% while alert volume fell 22%, with no measurable reduction in downstream confirmed cases.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Before/after · dual axis</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investigators are carrying aged alerts above SLA?</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Nine investigators hold 71% of the over-SLA backlog; the concentration follows two specialised typologies rather than individual throughput.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Workload distribution · table</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AG-INS-001 — Claims Leakage Investigator</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Where is leakage highest by coverage line?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Auto physical damage shows an estimated 4.1% leakage rate against a 2.3% book average, worth $18.4M annualized.</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Ranking · bar with value</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settlement patterns diverge most from peers on like claims?</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Three handling patterns settle comparable-complexity claims 12–18% above the matched peer band; the variance concentrates in one office and one claim type.</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Variance analysis · box plot</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driving cycle time increase in auto physical damage?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Median cycle time rose 3.4 days, 79% attributable to the appraisal step following a vendor change in April.</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Decomposition · waterfall by stage</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much subrogation recovery are we leaving on the table?</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$6.2M in claims met referral criteria but were never referred, 62% of them below the manual review threshold.</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Gap quantification · funnel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Did the new triage rule reduce severity on low-complexity claims?</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Average severity on triaged claims fell 7.8% with cycle time down 2.1 days and no increase in reopen rate over 120 days.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Programme evaluation · before/after</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AG-INS-002 — Underwriting Portfolio Copilot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Where is rate adequacy weakest in the commercial property book?</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Three segments price below indicated by 8–14%, together representing 22% of written premium and 31% of incurred loss.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Adequacy ranking · scatter</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our exposure concentration by county for wind peril?</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Two coastal counties carry 19% of total insured value against a 12% guideline, driven by growth in one distribution channel.</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Concentration · map + table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has quote-to-bind moved since the July rate change?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Quote-to-bind fell from 24% to 19% overall, but the decline is confined to the two segments that took the largest increases.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Trend by segment · line</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segments are we retaining below plan?</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Four segments sit 5–11 pp below retention plan; three of them also show the largest rate increases, indicating price-driven attrition.</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Variance to plan · bar</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would a 5% increase on the worst-performing segment do to retention?</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Applying the observed historical elasticity, retention would fall an estimated 3.2 pp — a directional projection, not a pricing recommendation.</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Scenario framing · elasticity curve (directional)</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AG-HLT-001 — Readmission Risk Navigator</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our 30-day readmission rate and how does it compare to last year?</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rate is 14.2%, down 0.9 pp year over year, with the improvement concentrated in two service lines.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Trend comparison · line</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conditions and units drive the most readmissions?</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Four condition groups account for 58% of readmissions; two medical units contribute disproportionately relative to their volume.</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Contribution ranking · Pareto</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discharge patterns are associated with higher readmission?</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Discharges without a scheduled follow-up inside seven days readmit at 19.4% against 11.1% when follow-up is scheduled.</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Association analysis · comparison bars</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Are follow-up appointments being scheduled within the target window?</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68% of discharges have follow-up scheduled within seven days against a 90% target; the shortfall concentrates in weekend discharges.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Compliance · gauge + segment split</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Did the transitional care programme reduce readmissions in the pilot units?</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Pilot units fell from 15.8% to 12.4% over six months against 15.1% in matched comparison units.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Programme evaluation · dual line</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AG-HLT-002 — Pharmacy Utilization Agent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items are at risk of stockout this week?</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34 items fall below safety stock against forecast demand, 11 of them single-source with lead times beyond the coverage window.</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Risk list · ranked table</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Where is formulary adherence lowest?</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Adherence is 82% overall but 61% in two units, driven by three therapeutic classes with available formulary equivalents.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Compliance ranking · bar</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driving the increase in pharmacy cost per patient day?</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Cost per patient day rose 6.4%; 71% of the increase comes from two high-cost classes where non-formulary substitution rose.</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Decomposition · waterfall</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much waste came from short-dated stock last quarter?</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$412K in doses expired unused, 58% concentrated in four items with over-ordering against declining utilization.</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Waste analysis · Pareto</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Draft a replenishment adjustment for the top 10 at-risk items.</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 drafted adjustment covering 10 items with quantities, rationale and cost impact, routed to the pharmacy manager for approval before any order is placed.</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Action draft · approval card (L2)</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AG-RTL-001 — Merchandising Performance Agent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are comparable sales trending by category this week?</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Comp sales are up 3.1% overall; two categories are negative, with home decor down 4.2% against a positive prior four weeks.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Trend by category · heatmap</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categories are missing plan and why?</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Three categories miss plan by more than 5%; for two, availability explains most of the gap, and for the third, traffic conversion does.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Variance decomposition · waterfall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Did the back-to-school promotion deliver incremental margin?</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promotion lifted units 18% but margin dollars only 4% after markdown and halo effects; two of five promoted SKUs were margin-dilutive.</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Promotion evaluation · lift analysis</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SKUs have high sell-through but poor in-stock?</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112 SKUs exceed 85% sell-through while sitting below 90% in-stock, representing an estimated $2.8M in recoverable sales.</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Opportunity matrix · quadrant</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Where is basket size declining and what is leaving the basket?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Basket value fell 2.4% in the urban store cluster, driven almost entirely by attachment items dropping out of grocery-anchored trips.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Basket composition · affinity shift</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AG-RTL-002 — Inventory Availability Agent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stores have the worst in-stock rate this week?</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18 stores sit below 92% in-stock; 14 share the same distribution centre and the same three replenishment exceptions.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Ranking · table + map</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our forecast accuracy by category?</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Portfolio MAPE is 18.4%; two seasonal categories exceed 30%, which explains most of the current over-position.</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Accuracy ranking · bar</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Where do we have excess weeks of supply?</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$14.2M of inventory sits above 12 weeks of supply, 62% concentrated in three categories following a forecast overshoot.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Excess analysis · Pareto</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did stockouts cost us last month?</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Estimated lost sales of $3.6M, with 44% recoverable through transfers from stores holding excess of the same SKU.</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Lost sales · quantified estimate</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Draft transfer recommendations to fix the top 20 availability gaps.</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Twenty drafted transfers with source, destination, quantity, freight cost and expected recovered sales, routed to the planner for approval.</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Action draft · approval card (L2)</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AG-TRN-001 — Delivery SLA Sentinel</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on-time delivery this week and where is it worst?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On-time delivery is 93.1% against a 96% target; the Northeast lanes sit at 87.4% and account for 71% of the total miss.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Performance ranking · bar + map</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driving late deliveries on the Northeast lanes?</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Origin dwell above 90 minutes precedes 64% of late arrivals, concentrated at two facilities during the evening dock window.</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Root cause · contribution analysis</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Where is dwell time eroding asset utilization?</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Excess dwell consumed 4,180 tractor-hours last month — the equivalent of 11 tractors — concentrated at six facilities.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Utilization impact · quantified</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How does cost per mile compare across carriers on the same lanes?</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 22 matched lanes, cost per mile ranges from $2.14 to $2.87 with no corresponding service difference.</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Like-for-like comparison · scatter</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customers are at risk of SLA penalty this month?</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Seven customer contracts are tracking below their service threshold with 11 days remaining, carrying $340K of exposure.</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Risk forecast · ranked table</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AG-UTL-001 — Outage Impact Analyst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our SAIDI year to date against the regulatory target?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SAIDI stands at 98 minutes against a 110-minute target, but excluding major event days the underlying trend is flat rather than improving.</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Regulatory tracking · line vs target</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feeders contribute most to interruption minutes?</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Twelve feeders produce 41% of customer-interruption minutes; nine share the same vegetation-management cycle.</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Contribution ranking · Pareto</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poor-health assets serve the most customers?</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38 assets in the lowest health band each serve more than 2,000 customers, together representing 214,000 customers of exposure.</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Risk prioritization · matrix</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was the customer and load impact of last week’s storm?</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84,000 customers interrupted for a combined 1.9M customer-minutes, with 62% restored inside four hours and load recovery complete within 18.</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Event analysis · timeline + map</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maintenance deferrals carry the highest customer-minute risk?</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Nine deferred work orders carry an estimated 180,000 customer-minutes of annual risk, five of them on assets already in the lowest health band.</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Risk ranking · table</w:t>
            </w:r>
          </w:p>
        </w:tc>
      </w:tr>
    </w:tbl>
    <w:p>
      <w:pPr>
        <w:spacing w:after="120"/>
      </w:pPr>
      <w:r>
        <w:t xml:space="preserve"/>
      </w:r>
    </w:p>
    <w:p>
      <w:pPr>
        <w:pStyle w:val="Heading3"/>
        <w:spacing w:after="90" w:before="220"/>
      </w:pPr>
      <w:r>
        <w:rPr>
          <w:rFonts w:ascii="Calibri" w:cs="Calibri" w:eastAsia="Calibri" w:hAnsi="Calibri"/>
          <w:b/>
          <w:bCs/>
          <w:color w:val="0B2C4D"/>
          <w:sz w:val="22"/>
          <w:szCs w:val="22"/>
        </w:rPr>
        <w:t xml:space="preserve">AG-MFG-001 — Yield &amp; Downtime Analyst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
        <w:gridCol w:w="2822"/>
        <w:gridCol w:w="5141"/>
        <w:gridCol w:w="1815"/>
      </w:tblGrid>
      <w:tr>
        <w:trPr>
          <w:tblHeader/>
        </w:trPr>
        <w:tc>
          <w:tcPr>
            <w:tcW w:type="dxa" w:w="30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t>
            </w:r>
          </w:p>
        </w:tc>
        <w:tc>
          <w:tcPr>
            <w:tcW w:type="dxa" w:w="282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Scripted question</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Illustrative answer headline</w:t>
            </w:r>
          </w:p>
        </w:tc>
        <w:tc>
          <w:tcPr>
            <w:tcW w:type="dxa" w:w="18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Analysis · visual</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1</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is OEE by line this week and where did we lose the most?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Plant OEE is 71.4%; Line 3 sits at 58.2% and accounts for 44% of the total loss, almost entirely on the availability component.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Performance ranking · OEE waterfall</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2</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What are the top downtime reasons on Line 3?</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Three reason codes explain 68% of unplanned downtime, led by a changeover fault recurring on one product transition.</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Pareto · reason code ranking</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3</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Which shifts show the biggest first-pass-yield gap?</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Night shift first-pass yield trails day shift by 4.8 pp on the same products and equipment, with the gap concentrated in the first two hours.</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Shift comparison · box plot</w:t>
            </w:r>
          </w:p>
        </w:tc>
      </w:tr>
      <w:tr>
        <w:tc>
          <w:tcPr>
            <w:tcW w:type="dxa" w:w="30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4</w:t>
            </w:r>
          </w:p>
        </w:tc>
        <w:tc>
          <w:tcPr>
            <w:tcW w:type="dxa" w:w="282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Did changeover standardization reduce changeover time?</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Median changeover fell from 47 to 31 minutes on standardized transitions, with variance down more than the median — the more valuable result.</w:t>
            </w:r>
          </w:p>
        </w:tc>
        <w:tc>
          <w:tcPr>
            <w:tcW w:type="dxa" w:w="18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Programme evaluation · distribution shift</w:t>
            </w:r>
          </w:p>
        </w:tc>
      </w:tr>
      <w:tr>
        <w:tc>
          <w:tcPr>
            <w:tcW w:type="dxa" w:w="30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5</w:t>
            </w:r>
          </w:p>
        </w:tc>
        <w:tc>
          <w:tcPr>
            <w:tcW w:type="dxa" w:w="282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Where is scrap concentrated by product and root cause?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Two products contribute 57% of scrap value; for one, a single upstream dimensional cause accounts for most of it.</w:t>
            </w:r>
          </w:p>
        </w:tc>
        <w:tc>
          <w:tcPr>
            <w:tcW w:type="dxa" w:w="18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Concentration · treemap + Pareto</w:t>
            </w:r>
          </w:p>
        </w:tc>
      </w:tr>
    </w:tbl>
    <w:p>
      <w:pPr>
        <w:spacing w:after="120"/>
      </w:pPr>
      <w:r>
        <w:t xml:space="preserve"/>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28. Certified KPI Registry &amp; Semantic Backbone</w:t>
      </w:r>
    </w:p>
    <w:p>
      <w:pPr>
        <w:spacing w:after="120" w:line="276"/>
        <w:jc w:val="left"/>
      </w:pPr>
      <w:r>
        <w:rPr>
          <w:rFonts w:ascii="Calibri" w:cs="Calibri" w:eastAsia="Calibri" w:hAnsi="Calibri"/>
          <w:b w:val="false"/>
          <w:bCs w:val="false"/>
          <w:i w:val="false"/>
          <w:iCs w:val="false"/>
          <w:color w:val="1F2A33"/>
          <w:sz w:val="21"/>
          <w:szCs w:val="21"/>
        </w:rPr>
        <w:t xml:space="preserve">Everything else in this specification depends on one idea: a business measure has exactly one authoritative definition, and every product, agent, chart and answer cites it. Without that, the catalog is a list, the agent mesh cannot detect divergence, and two agents can give a board two different churn rates with equal confidence. The KPI registry is therefore not a feature of the semantic layer — it is the spine the marketplace is built on.</w:t>
      </w:r>
    </w:p>
    <w:p>
      <w:pPr>
        <w:pStyle w:val="Heading2"/>
        <w:spacing w:after="120" w:before="280"/>
      </w:pPr>
      <w:r>
        <w:rPr>
          <w:rFonts w:ascii="Calibri" w:cs="Calibri" w:eastAsia="Calibri" w:hAnsi="Calibri"/>
          <w:b/>
          <w:bCs/>
          <w:color w:val="117A8B"/>
          <w:sz w:val="25"/>
          <w:szCs w:val="25"/>
        </w:rPr>
        <w:t xml:space="preserve">28.1 Definition Record</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kpi:</w:t>
            </w:r>
          </w:p>
          <w:p>
            <w:pPr>
              <w:spacing w:after="0" w:line="240"/>
            </w:pPr>
            <w:r>
              <w:rPr>
                <w:rFonts w:ascii="Consolas" w:cs="Consolas" w:eastAsia="Consolas" w:hAnsi="Consolas"/>
                <w:color w:val="16323F"/>
                <w:sz w:val="16"/>
                <w:szCs w:val="16"/>
              </w:rPr>
              <w:t xml:space="preserve">  id: KPI-CHURN-001</w:t>
            </w:r>
          </w:p>
          <w:p>
            <w:pPr>
              <w:spacing w:after="0" w:line="240"/>
            </w:pPr>
            <w:r>
              <w:rPr>
                <w:rFonts w:ascii="Consolas" w:cs="Consolas" w:eastAsia="Consolas" w:hAnsi="Consolas"/>
                <w:color w:val="16323F"/>
                <w:sz w:val="16"/>
                <w:szCs w:val="16"/>
              </w:rPr>
              <w:t xml:space="preserve">  name: "Subscriber Churn Rate"</w:t>
            </w:r>
          </w:p>
          <w:p>
            <w:pPr>
              <w:spacing w:after="0" w:line="240"/>
            </w:pPr>
            <w:r>
              <w:rPr>
                <w:rFonts w:ascii="Consolas" w:cs="Consolas" w:eastAsia="Consolas" w:hAnsi="Consolas"/>
                <w:color w:val="16323F"/>
                <w:sz w:val="16"/>
                <w:szCs w:val="16"/>
              </w:rPr>
              <w:t xml:space="preserve">  status: certified                 # draft | certified | deprecated | superseded</w:t>
            </w:r>
          </w:p>
          <w:p>
            <w:pPr>
              <w:spacing w:after="0" w:line="240"/>
            </w:pPr>
            <w:r>
              <w:rPr>
                <w:rFonts w:ascii="Consolas" w:cs="Consolas" w:eastAsia="Consolas" w:hAnsi="Consolas"/>
                <w:color w:val="16323F"/>
                <w:sz w:val="16"/>
                <w:szCs w:val="16"/>
              </w:rPr>
              <w:t xml:space="preserve">  owner: { steward: "A. Vance", forum_approved: 2026-04-18 }</w:t>
            </w:r>
          </w:p>
          <w:p>
            <w:pPr>
              <w:spacing w:after="0" w:line="240"/>
            </w:pPr>
            <w:r>
              <w:rPr>
                <w:rFonts w:ascii="Consolas" w:cs="Consolas" w:eastAsia="Consolas" w:hAnsi="Consolas"/>
                <w:color w:val="16323F"/>
                <w:sz w:val="16"/>
                <w:szCs w:val="16"/>
              </w:rPr>
              <w:t xml:space="preserve">  business_definition: &gt;</w:t>
            </w:r>
          </w:p>
          <w:p>
            <w:pPr>
              <w:spacing w:after="0" w:line="240"/>
            </w:pPr>
            <w:r>
              <w:rPr>
                <w:rFonts w:ascii="Consolas" w:cs="Consolas" w:eastAsia="Consolas" w:hAnsi="Consolas"/>
                <w:color w:val="16323F"/>
                <w:sz w:val="16"/>
                <w:szCs w:val="16"/>
              </w:rPr>
              <w:t xml:space="preserve">    The share of subscribers active at the start of a period who have</w:t>
            </w:r>
          </w:p>
          <w:p>
            <w:pPr>
              <w:spacing w:after="0" w:line="240"/>
            </w:pPr>
            <w:r>
              <w:rPr>
                <w:rFonts w:ascii="Consolas" w:cs="Consolas" w:eastAsia="Consolas" w:hAnsi="Consolas"/>
                <w:color w:val="16323F"/>
                <w:sz w:val="16"/>
                <w:szCs w:val="16"/>
              </w:rPr>
              <w:t xml:space="preserve">    disconnected all services by the end of that period.</w:t>
            </w:r>
          </w:p>
          <w:p>
            <w:pPr>
              <w:spacing w:after="0" w:line="240"/>
            </w:pPr>
            <w:r>
              <w:rPr>
                <w:rFonts w:ascii="Consolas" w:cs="Consolas" w:eastAsia="Consolas" w:hAnsi="Consolas"/>
                <w:color w:val="16323F"/>
                <w:sz w:val="16"/>
                <w:szCs w:val="16"/>
              </w:rPr>
              <w:t xml:space="preserve">  calculation:</w:t>
            </w:r>
          </w:p>
          <w:p>
            <w:pPr>
              <w:spacing w:after="0" w:line="240"/>
            </w:pPr>
            <w:r>
              <w:rPr>
                <w:rFonts w:ascii="Consolas" w:cs="Consolas" w:eastAsia="Consolas" w:hAnsi="Consolas"/>
                <w:color w:val="16323F"/>
                <w:sz w:val="16"/>
                <w:szCs w:val="16"/>
              </w:rPr>
              <w:t xml:space="preserve">    numerator:   "count(distinct subscriber_id where disconnect_date within period)"</w:t>
            </w:r>
          </w:p>
          <w:p>
            <w:pPr>
              <w:spacing w:after="0" w:line="240"/>
            </w:pPr>
            <w:r>
              <w:rPr>
                <w:rFonts w:ascii="Consolas" w:cs="Consolas" w:eastAsia="Consolas" w:hAnsi="Consolas"/>
                <w:color w:val="16323F"/>
                <w:sz w:val="16"/>
                <w:szCs w:val="16"/>
              </w:rPr>
              <w:t xml:space="preserve">    denominator: "count(distinct subscriber_id active at period_start)"</w:t>
            </w:r>
          </w:p>
          <w:p>
            <w:pPr>
              <w:spacing w:after="0" w:line="240"/>
            </w:pPr>
            <w:r>
              <w:rPr>
                <w:rFonts w:ascii="Consolas" w:cs="Consolas" w:eastAsia="Consolas" w:hAnsi="Consolas"/>
                <w:color w:val="16323F"/>
                <w:sz w:val="16"/>
                <w:szCs w:val="16"/>
              </w:rPr>
              <w:t xml:space="preserve">    grain_supported: [day, week, month, quarter]</w:t>
            </w:r>
          </w:p>
          <w:p>
            <w:pPr>
              <w:spacing w:after="0" w:line="240"/>
            </w:pPr>
            <w:r>
              <w:rPr>
                <w:rFonts w:ascii="Consolas" w:cs="Consolas" w:eastAsia="Consolas" w:hAnsi="Consolas"/>
                <w:color w:val="16323F"/>
                <w:sz w:val="16"/>
                <w:szCs w:val="16"/>
              </w:rPr>
              <w:t xml:space="preserve">    slices_supported: [segment, region, plan_type, tenure_band, channel]</w:t>
            </w:r>
          </w:p>
          <w:p>
            <w:pPr>
              <w:spacing w:after="0" w:line="240"/>
            </w:pPr>
            <w:r>
              <w:rPr>
                <w:rFonts w:ascii="Consolas" w:cs="Consolas" w:eastAsia="Consolas" w:hAnsi="Consolas"/>
                <w:color w:val="16323F"/>
                <w:sz w:val="16"/>
                <w:szCs w:val="16"/>
              </w:rPr>
              <w:t xml:space="preserve">  inclusions:  ["voluntary and involuntary disconnects"]</w:t>
            </w:r>
          </w:p>
          <w:p>
            <w:pPr>
              <w:spacing w:after="0" w:line="240"/>
            </w:pPr>
            <w:r>
              <w:rPr>
                <w:rFonts w:ascii="Consolas" w:cs="Consolas" w:eastAsia="Consolas" w:hAnsi="Consolas"/>
                <w:color w:val="16323F"/>
                <w:sz w:val="16"/>
                <w:szCs w:val="16"/>
              </w:rPr>
              <w:t xml:space="preserve">  exclusions:  ["plan migrations within the same account", "device-only accounts"]</w:t>
            </w:r>
          </w:p>
          <w:p>
            <w:pPr>
              <w:spacing w:after="0" w:line="240"/>
            </w:pPr>
            <w:r>
              <w:rPr>
                <w:rFonts w:ascii="Consolas" w:cs="Consolas" w:eastAsia="Consolas" w:hAnsi="Consolas"/>
                <w:color w:val="16323F"/>
                <w:sz w:val="16"/>
                <w:szCs w:val="16"/>
              </w:rPr>
              <w:t xml:space="preserve">  unit: percentage   direction: lower_is_better   target: 1.45</w:t>
            </w:r>
          </w:p>
          <w:p>
            <w:pPr>
              <w:spacing w:after="0" w:line="240"/>
            </w:pPr>
            <w:r>
              <w:rPr>
                <w:rFonts w:ascii="Consolas" w:cs="Consolas" w:eastAsia="Consolas" w:hAnsi="Consolas"/>
                <w:color w:val="16323F"/>
                <w:sz w:val="16"/>
                <w:szCs w:val="16"/>
              </w:rPr>
              <w:t xml:space="preserve">  source_of_record: DP-TEL-001</w:t>
            </w:r>
          </w:p>
          <w:p>
            <w:pPr>
              <w:spacing w:after="0" w:line="240"/>
            </w:pPr>
            <w:r>
              <w:rPr>
                <w:rFonts w:ascii="Consolas" w:cs="Consolas" w:eastAsia="Consolas" w:hAnsi="Consolas"/>
                <w:color w:val="16323F"/>
                <w:sz w:val="16"/>
                <w:szCs w:val="16"/>
              </w:rPr>
              <w:t xml:space="preserve">  synonyms: ["attrition rate", "churn %", "subscriber loss rate"]</w:t>
            </w:r>
          </w:p>
          <w:p>
            <w:pPr>
              <w:spacing w:after="0" w:line="240"/>
            </w:pPr>
            <w:r>
              <w:rPr>
                <w:rFonts w:ascii="Consolas" w:cs="Consolas" w:eastAsia="Consolas" w:hAnsi="Consolas"/>
                <w:color w:val="16323F"/>
                <w:sz w:val="16"/>
                <w:szCs w:val="16"/>
              </w:rPr>
              <w:t xml:space="preserve">  related: { conflicts_with: [], superseded_by: null }</w:t>
            </w:r>
          </w:p>
          <w:p>
            <w:pPr>
              <w:spacing w:after="0" w:line="240"/>
            </w:pPr>
            <w:r>
              <w:rPr>
                <w:rFonts w:ascii="Consolas" w:cs="Consolas" w:eastAsia="Consolas" w:hAnsi="Consolas"/>
                <w:color w:val="16323F"/>
                <w:sz w:val="16"/>
                <w:szCs w:val="16"/>
              </w:rPr>
              <w:t xml:space="preserve">  review: { cadence_months: 6, last_reviewed: 2026-08-02 }</w:t>
            </w:r>
          </w:p>
        </w:tc>
      </w:tr>
    </w:tbl>
    <w:p>
      <w:pPr>
        <w:pStyle w:val="Heading2"/>
        <w:spacing w:after="120" w:before="280"/>
      </w:pPr>
      <w:r>
        <w:rPr>
          <w:rFonts w:ascii="Calibri" w:cs="Calibri" w:eastAsia="Calibri" w:hAnsi="Calibri"/>
          <w:b/>
          <w:bCs/>
          <w:color w:val="117A8B"/>
          <w:sz w:val="25"/>
          <w:szCs w:val="25"/>
        </w:rPr>
        <w:t xml:space="preserve">28.2 Registry Rules</w:t>
      </w:r>
    </w:p>
    <w:p>
      <w:pPr>
        <w:pStyle w:val="ListParagraph"/>
        <w:numPr>
          <w:ilvl w:val="0"/>
          <w:numId w:val="2"/>
        </w:numPr>
        <w:spacing w:after="70" w:line="268"/>
      </w:pPr>
      <w:r>
        <w:rPr>
          <w:rFonts w:ascii="Calibri" w:cs="Calibri" w:eastAsia="Calibri" w:hAnsi="Calibri"/>
          <w:b/>
          <w:bCs/>
          <w:color w:val="0B2C4D"/>
          <w:sz w:val="21"/>
          <w:szCs w:val="21"/>
        </w:rPr>
        <w:t xml:space="preserve">One active definition per name per tenant.</w:t>
      </w:r>
      <w:r>
        <w:rPr>
          <w:rFonts w:ascii="Calibri" w:cs="Calibri" w:eastAsia="Calibri" w:hAnsi="Calibri"/>
          <w:color w:val="1F2A33"/>
          <w:sz w:val="21"/>
          <w:szCs w:val="21"/>
        </w:rPr>
        <w:t xml:space="preserve"> Publishing a second is a blocking error with a side-by-side diff and a required resolution: adopt, rename, or supersede. There is no "approve anyway" path.</w:t>
      </w:r>
    </w:p>
    <w:p>
      <w:pPr>
        <w:pStyle w:val="ListParagraph"/>
        <w:numPr>
          <w:ilvl w:val="0"/>
          <w:numId w:val="2"/>
        </w:numPr>
        <w:spacing w:after="70" w:line="268"/>
      </w:pPr>
      <w:r>
        <w:rPr>
          <w:rFonts w:ascii="Calibri" w:cs="Calibri" w:eastAsia="Calibri" w:hAnsi="Calibri"/>
          <w:b/>
          <w:bCs/>
          <w:color w:val="0B2C4D"/>
          <w:sz w:val="21"/>
          <w:szCs w:val="21"/>
        </w:rPr>
        <w:t xml:space="preserve">Nothing computes an uncited measure.</w:t>
      </w:r>
      <w:r>
        <w:rPr>
          <w:rFonts w:ascii="Calibri" w:cs="Calibri" w:eastAsia="Calibri" w:hAnsi="Calibri"/>
          <w:color w:val="1F2A33"/>
          <w:sz w:val="21"/>
          <w:szCs w:val="21"/>
        </w:rPr>
        <w:t xml:space="preserve"> A product cannot declare a certified KPI without a definition ID; an agent cannot answer a KPI it does not cite; a demo exchange cannot pass validation without a must_cite entry. The registry is enforced at three gates, not by convention.</w:t>
      </w:r>
    </w:p>
    <w:p>
      <w:pPr>
        <w:pStyle w:val="ListParagraph"/>
        <w:numPr>
          <w:ilvl w:val="0"/>
          <w:numId w:val="2"/>
        </w:numPr>
        <w:spacing w:after="70" w:line="268"/>
      </w:pPr>
      <w:r>
        <w:rPr>
          <w:rFonts w:ascii="Calibri" w:cs="Calibri" w:eastAsia="Calibri" w:hAnsi="Calibri"/>
          <w:b/>
          <w:bCs/>
          <w:color w:val="0B2C4D"/>
          <w:sz w:val="21"/>
          <w:szCs w:val="21"/>
        </w:rPr>
        <w:t xml:space="preserve">Definitions are versioned and their consumers are known.</w:t>
      </w:r>
      <w:r>
        <w:rPr>
          <w:rFonts w:ascii="Calibri" w:cs="Calibri" w:eastAsia="Calibri" w:hAnsi="Calibri"/>
          <w:color w:val="1F2A33"/>
          <w:sz w:val="21"/>
          <w:szCs w:val="21"/>
        </w:rPr>
        <w:t xml:space="preserve"> Changing a calculation creates a new version, notifies every product, agent, report and value case that cites it, and annotates every trend chart at the change date so a step in the line is never mistaken for a business event.</w:t>
      </w:r>
    </w:p>
    <w:p>
      <w:pPr>
        <w:pStyle w:val="ListParagraph"/>
        <w:numPr>
          <w:ilvl w:val="0"/>
          <w:numId w:val="2"/>
        </w:numPr>
        <w:spacing w:after="70" w:line="268"/>
      </w:pPr>
      <w:r>
        <w:rPr>
          <w:rFonts w:ascii="Calibri" w:cs="Calibri" w:eastAsia="Calibri" w:hAnsi="Calibri"/>
          <w:b/>
          <w:bCs/>
          <w:color w:val="0B2C4D"/>
          <w:sz w:val="21"/>
          <w:szCs w:val="21"/>
        </w:rPr>
        <w:t xml:space="preserve">Synonyms are first-class.</w:t>
      </w:r>
      <w:r>
        <w:rPr>
          <w:rFonts w:ascii="Calibri" w:cs="Calibri" w:eastAsia="Calibri" w:hAnsi="Calibri"/>
          <w:color w:val="1F2A33"/>
          <w:sz w:val="21"/>
          <w:szCs w:val="21"/>
        </w:rPr>
        <w:t xml:space="preserve"> Universal search, the intake duplicate matcher and agent natural-language understanding all read the same synonym list. A synonym added once is understood everywhere.</w:t>
      </w:r>
    </w:p>
    <w:p>
      <w:pPr>
        <w:pStyle w:val="ListParagraph"/>
        <w:numPr>
          <w:ilvl w:val="0"/>
          <w:numId w:val="2"/>
        </w:numPr>
        <w:spacing w:after="70" w:line="268"/>
      </w:pPr>
      <w:r>
        <w:rPr>
          <w:rFonts w:ascii="Calibri" w:cs="Calibri" w:eastAsia="Calibri" w:hAnsi="Calibri"/>
          <w:b/>
          <w:bCs/>
          <w:color w:val="0B2C4D"/>
          <w:sz w:val="21"/>
          <w:szCs w:val="21"/>
        </w:rPr>
        <w:t xml:space="preserve">Deprecation has a parallel-run period.</w:t>
      </w:r>
      <w:r>
        <w:rPr>
          <w:rFonts w:ascii="Calibri" w:cs="Calibri" w:eastAsia="Calibri" w:hAnsi="Calibri"/>
          <w:color w:val="1F2A33"/>
          <w:sz w:val="21"/>
          <w:szCs w:val="21"/>
        </w:rPr>
        <w:t xml:space="preserve"> A superseded definition remains queryable for the notice window with a visible banner, so downstream reconciliation is possible.</w:t>
      </w:r>
    </w:p>
    <w:p>
      <w:pPr>
        <w:pStyle w:val="Heading2"/>
        <w:spacing w:after="120" w:before="280"/>
      </w:pPr>
      <w:r>
        <w:rPr>
          <w:rFonts w:ascii="Calibri" w:cs="Calibri" w:eastAsia="Calibri" w:hAnsi="Calibri"/>
          <w:b/>
          <w:bCs/>
          <w:color w:val="117A8B"/>
          <w:sz w:val="25"/>
          <w:szCs w:val="25"/>
        </w:rPr>
        <w:t xml:space="preserve">28.3 Divergence Detection</w:t>
      </w:r>
    </w:p>
    <w:p>
      <w:pPr>
        <w:spacing w:after="120" w:line="276"/>
        <w:jc w:val="left"/>
      </w:pPr>
      <w:r>
        <w:rPr>
          <w:rFonts w:ascii="Calibri" w:cs="Calibri" w:eastAsia="Calibri" w:hAnsi="Calibri"/>
          <w:b w:val="false"/>
          <w:bCs w:val="false"/>
          <w:i w:val="false"/>
          <w:iCs w:val="false"/>
          <w:color w:val="1F2A33"/>
          <w:sz w:val="21"/>
          <w:szCs w:val="21"/>
        </w:rPr>
        <w:t xml:space="preserve">A registry that is only enforced at publish time drifts silently in production. A scheduled reconciliation job asks the same question of every agent and every semantic model that claims a KPI, over the same period and slice, and compares.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3024"/>
        <w:gridCol w:w="2218"/>
        <w:gridCol w:w="4838"/>
      </w:tblGrid>
      <w:tr>
        <w:trPr>
          <w:tblHeader/>
        </w:trPr>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Check</w:t>
            </w:r>
          </w:p>
        </w:tc>
        <w:tc>
          <w:tcPr>
            <w:tcW w:type="dxa" w:w="221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Frequency</w:t>
            </w:r>
          </w:p>
        </w:tc>
        <w:tc>
          <w:tcPr>
            <w:tcW w:type="dxa" w:w="483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Failure handling</w:t>
            </w:r>
          </w:p>
        </w:tc>
      </w:tr>
      <w:tr>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Cross-agent agreement on a shared KPI</w:t>
            </w:r>
          </w:p>
        </w:tc>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Daily, per KPI answered by more than one agent</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Variance beyond tolerance opens an incident against both agents and banners both listings until resolved</w:t>
            </w:r>
          </w:p>
        </w:tc>
      </w:tr>
      <w:tr>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Product-to-product agreement on a shared KPI</w:t>
            </w:r>
          </w:p>
        </w:tc>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Daily, per KPI served by more than one product</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Incident against both products; the mesh shared-KPI edge is flagged</w:t>
            </w:r>
          </w:p>
        </w:tc>
      </w:tr>
      <w:tr>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Semantic layer conformance</w:t>
            </w:r>
          </w:p>
        </w:tc>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 every semantic model deploy</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measure whose expression no longer matches its definition blocks the deploy</w:t>
            </w:r>
          </w:p>
        </w:tc>
      </w:tr>
      <w:tr>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BI reconciliation</w:t>
            </w:r>
          </w:p>
        </w:tc>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Weekly, against connected BI tools</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dashboard measure diverging from the certified definition is raised as a curation finding, not silently overwritten</w:t>
            </w:r>
          </w:p>
        </w:tc>
      </w:tr>
      <w:tr>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Orphan measure detection</w:t>
            </w:r>
          </w:p>
        </w:tc>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Weekly</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measure computed in a product or report with no registry entry is queued for steward triage</w:t>
            </w:r>
          </w:p>
        </w:tc>
      </w:tr>
    </w:tbl>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29. AgentOps — Evaluation, Safety &amp; Release Governance</w:t>
      </w:r>
    </w:p>
    <w:p>
      <w:pPr>
        <w:spacing w:after="120" w:line="276"/>
        <w:jc w:val="left"/>
      </w:pPr>
      <w:r>
        <w:rPr>
          <w:rFonts w:ascii="Calibri" w:cs="Calibri" w:eastAsia="Calibri" w:hAnsi="Calibri"/>
          <w:b w:val="false"/>
          <w:bCs w:val="false"/>
          <w:i w:val="false"/>
          <w:iCs w:val="false"/>
          <w:color w:val="1F2A33"/>
          <w:sz w:val="21"/>
          <w:szCs w:val="21"/>
        </w:rPr>
        <w:t xml:space="preserve">An agent is a released software artifact whose behaviour changes when a model, prompt, tool binding or upstream dataset changes — four moving parts, three of which are outside the agent team’s control. The platform therefore treats agent releases with the discipline normally reserved for production services.</w:t>
      </w:r>
    </w:p>
    <w:p>
      <w:pPr>
        <w:pStyle w:val="Heading2"/>
        <w:spacing w:after="120" w:before="280"/>
      </w:pPr>
      <w:r>
        <w:rPr>
          <w:rFonts w:ascii="Calibri" w:cs="Calibri" w:eastAsia="Calibri" w:hAnsi="Calibri"/>
          <w:b/>
          <w:bCs/>
          <w:color w:val="117A8B"/>
          <w:sz w:val="25"/>
          <w:szCs w:val="25"/>
        </w:rPr>
        <w:t xml:space="preserve">29.1 The Agent Release Bundle</w:t>
      </w:r>
    </w:p>
    <w:p>
      <w:pPr>
        <w:spacing w:after="120" w:line="276"/>
        <w:jc w:val="left"/>
      </w:pPr>
      <w:r>
        <w:rPr>
          <w:rFonts w:ascii="Calibri" w:cs="Calibri" w:eastAsia="Calibri" w:hAnsi="Calibri"/>
          <w:b w:val="false"/>
          <w:bCs w:val="false"/>
          <w:i w:val="false"/>
          <w:iCs w:val="false"/>
          <w:color w:val="1F2A33"/>
          <w:sz w:val="21"/>
          <w:szCs w:val="21"/>
        </w:rPr>
        <w:t xml:space="preserve">An agent version is immutable and pins every input that can alter behaviour. Rolling back is restoring a bundle, never re-tuning a prompt in production.</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218"/>
        <w:gridCol w:w="7862"/>
      </w:tblGrid>
      <w:tr>
        <w:trPr>
          <w:tblHeader/>
        </w:trPr>
        <w:tc>
          <w:tcPr>
            <w:tcW w:type="dxa" w:w="221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Pinned element</w:t>
            </w:r>
          </w:p>
        </w:tc>
        <w:tc>
          <w:tcPr>
            <w:tcW w:type="dxa" w:w="786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Detail</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Model</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Provider, model identifier, version and inference parameters (temperature, top-p, max tokens, seed where supported)</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Prompts</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System prompt, tool descriptions and few-shot content, content-hashed and stored in the prompt registry</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Tool bindings</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Exact MCP tool set with scope strings, row limits and cost classes</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contracts</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Contract version of every upstream product at publish time</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KPI definitions</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Definition version for every KPI in the coverage map</w:t>
            </w:r>
          </w:p>
        </w:tc>
      </w:tr>
      <w:tr>
        <w:tc>
          <w:tcPr>
            <w:tcW w:type="dxa" w:w="221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Guardrail config</w:t>
            </w:r>
          </w:p>
        </w:tc>
        <w:tc>
          <w:tcPr>
            <w:tcW w:type="dxa" w:w="786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Refusal policy, output filters, injection defences and their versions</w:t>
            </w:r>
          </w:p>
        </w:tc>
      </w:tr>
      <w:tr>
        <w:tc>
          <w:tcPr>
            <w:tcW w:type="dxa" w:w="221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Evaluation result</w:t>
            </w:r>
          </w:p>
        </w:tc>
        <w:tc>
          <w:tcPr>
            <w:tcW w:type="dxa" w:w="786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full evaluation run that authorised the release, with pass rate and per-suite detail</w:t>
            </w:r>
          </w:p>
        </w:tc>
      </w:tr>
    </w:tbl>
    <w:p>
      <w:pPr>
        <w:pStyle w:val="Heading2"/>
        <w:spacing w:after="120" w:before="280"/>
      </w:pPr>
      <w:r>
        <w:rPr>
          <w:rFonts w:ascii="Calibri" w:cs="Calibri" w:eastAsia="Calibri" w:hAnsi="Calibri"/>
          <w:b/>
          <w:bCs/>
          <w:color w:val="117A8B"/>
          <w:sz w:val="25"/>
          <w:szCs w:val="25"/>
        </w:rPr>
        <w:t xml:space="preserve">29.2 Evaluation Suites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915"/>
        <w:gridCol w:w="5141"/>
        <w:gridCol w:w="3024"/>
      </w:tblGrid>
      <w:tr>
        <w:trPr>
          <w:tblHeader/>
        </w:trPr>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Suite</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What it proves</w:t>
            </w:r>
          </w:p>
        </w:tc>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Gate</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Golden accuracy</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agent returns the correct value for known questions with known answers, within tolerance, across every KPI in the coverage map</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Blocking. Minimum 20 cases per KPI class; pass threshold declared per agent and never lowered to pass a release</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Groundedness</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numeric claim carries a valid citation resolving to a real product, column set and as-of timestamp</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Blocking at 100%. An uncited number is a defect, not a warning</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Boundary and refusal</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Out-of-scope questions are refused with a named boundary and a handoff, not answered speculatively</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Blocking. Includes the explicit out-of-scope list from the agent manifest</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Adversarial and injection</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Prompt injection through retrieved content, tool output and user input fails to alter scope, exfiltrate columns or bypass purpose binding</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Blocking. Suite maintained centrally and versioned; every agent runs the current version</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Entitlement enforcement</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Under a low-privilege delegated identity the agent returns strictly less, never more, and never leaks the existence of masked columns</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Blocking. Run against at least three synthetic personas of differing entitlement</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Compositional exposure</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Where the agent invokes other agents or composes tools, the union of reachable data does not exceed the approved scope</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Blocking where composition exists</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Consistency</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same question asked five times returns materially the same answer</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Advisory with a published variance figure; high variance blocks certification but not publication</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 and latency</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p95 latency and cost per answer stay within the declared budget on the evaluation corpus</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Blocking against the budget in the agent manifest</w:t>
            </w:r>
          </w:p>
        </w:tc>
      </w:tr>
    </w:tbl>
    <w:p>
      <w:pPr>
        <w:pStyle w:val="Heading2"/>
        <w:spacing w:after="120" w:before="280"/>
      </w:pPr>
      <w:r>
        <w:rPr>
          <w:rFonts w:ascii="Calibri" w:cs="Calibri" w:eastAsia="Calibri" w:hAnsi="Calibri"/>
          <w:b/>
          <w:bCs/>
          <w:color w:val="117A8B"/>
          <w:sz w:val="25"/>
          <w:szCs w:val="25"/>
        </w:rPr>
        <w:t xml:space="preserve">29.3 Release Path</w:t>
      </w:r>
    </w:p>
    <w:p>
      <w:pPr>
        <w:pStyle w:val="ListParagraph"/>
        <w:numPr>
          <w:ilvl w:val="0"/>
          <w:numId w:val="3"/>
        </w:numPr>
        <w:spacing w:after="70" w:line="268"/>
      </w:pPr>
      <w:r>
        <w:rPr>
          <w:rFonts w:ascii="Calibri" w:cs="Calibri" w:eastAsia="Calibri" w:hAnsi="Calibri"/>
          <w:b/>
          <w:bCs/>
          <w:color w:val="0B2C4D"/>
          <w:sz w:val="21"/>
          <w:szCs w:val="21"/>
        </w:rPr>
        <w:t xml:space="preserve">Author.</w:t>
      </w:r>
      <w:r>
        <w:rPr>
          <w:rFonts w:ascii="Calibri" w:cs="Calibri" w:eastAsia="Calibri" w:hAnsi="Calibri"/>
          <w:color w:val="1F2A33"/>
          <w:sz w:val="21"/>
          <w:szCs w:val="21"/>
        </w:rPr>
        <w:t xml:space="preserve"> Changes are made to the manifest and prompt registry in a branch. Nothing is edited in a running agent.</w:t>
      </w:r>
    </w:p>
    <w:p>
      <w:pPr>
        <w:pStyle w:val="ListParagraph"/>
        <w:numPr>
          <w:ilvl w:val="0"/>
          <w:numId w:val="3"/>
        </w:numPr>
        <w:spacing w:after="70" w:line="268"/>
      </w:pPr>
      <w:r>
        <w:rPr>
          <w:rFonts w:ascii="Calibri" w:cs="Calibri" w:eastAsia="Calibri" w:hAnsi="Calibri"/>
          <w:b/>
          <w:bCs/>
          <w:color w:val="0B2C4D"/>
          <w:sz w:val="21"/>
          <w:szCs w:val="21"/>
        </w:rPr>
        <w:t xml:space="preserve">Evaluate.</w:t>
      </w:r>
      <w:r>
        <w:rPr>
          <w:rFonts w:ascii="Calibri" w:cs="Calibri" w:eastAsia="Calibri" w:hAnsi="Calibri"/>
          <w:color w:val="1F2A33"/>
          <w:sz w:val="21"/>
          <w:szCs w:val="21"/>
        </w:rPr>
        <w:t xml:space="preserve"> The full suite runs against the demo tier. Results, including per-case diffs against the previous version, are attached to the pull request.</w:t>
      </w:r>
    </w:p>
    <w:p>
      <w:pPr>
        <w:pStyle w:val="ListParagraph"/>
        <w:numPr>
          <w:ilvl w:val="0"/>
          <w:numId w:val="3"/>
        </w:numPr>
        <w:spacing w:after="70" w:line="268"/>
      </w:pPr>
      <w:r>
        <w:rPr>
          <w:rFonts w:ascii="Calibri" w:cs="Calibri" w:eastAsia="Calibri" w:hAnsi="Calibri"/>
          <w:b/>
          <w:bCs/>
          <w:color w:val="0B2C4D"/>
          <w:sz w:val="21"/>
          <w:szCs w:val="21"/>
        </w:rPr>
        <w:t xml:space="preserve">Review.</w:t>
      </w:r>
      <w:r>
        <w:rPr>
          <w:rFonts w:ascii="Calibri" w:cs="Calibri" w:eastAsia="Calibri" w:hAnsi="Calibri"/>
          <w:color w:val="1F2A33"/>
          <w:sz w:val="21"/>
          <w:szCs w:val="21"/>
        </w:rPr>
        <w:t xml:space="preserve"> Owner plus steward review; a security review is required when scope, tool bindings or model provider change.</w:t>
      </w:r>
    </w:p>
    <w:p>
      <w:pPr>
        <w:pStyle w:val="ListParagraph"/>
        <w:numPr>
          <w:ilvl w:val="0"/>
          <w:numId w:val="3"/>
        </w:numPr>
        <w:spacing w:after="70" w:line="268"/>
      </w:pPr>
      <w:r>
        <w:rPr>
          <w:rFonts w:ascii="Calibri" w:cs="Calibri" w:eastAsia="Calibri" w:hAnsi="Calibri"/>
          <w:b/>
          <w:bCs/>
          <w:color w:val="0B2C4D"/>
          <w:sz w:val="21"/>
          <w:szCs w:val="21"/>
        </w:rPr>
        <w:t xml:space="preserve">Canary.</w:t>
      </w:r>
      <w:r>
        <w:rPr>
          <w:rFonts w:ascii="Calibri" w:cs="Calibri" w:eastAsia="Calibri" w:hAnsi="Calibri"/>
          <w:color w:val="1F2A33"/>
          <w:sz w:val="21"/>
          <w:szCs w:val="21"/>
        </w:rPr>
        <w:t xml:space="preserve"> The new version serves a defined share of traffic — 10% by default — with live acceptance rate, groundedness, latency and cost compared to the incumbent. Minimum soak of 200 answered questions or 48 hours, whichever comes first.</w:t>
      </w:r>
    </w:p>
    <w:p>
      <w:pPr>
        <w:pStyle w:val="ListParagraph"/>
        <w:numPr>
          <w:ilvl w:val="0"/>
          <w:numId w:val="3"/>
        </w:numPr>
        <w:spacing w:after="70" w:line="268"/>
      </w:pPr>
      <w:r>
        <w:rPr>
          <w:rFonts w:ascii="Calibri" w:cs="Calibri" w:eastAsia="Calibri" w:hAnsi="Calibri"/>
          <w:b/>
          <w:bCs/>
          <w:color w:val="0B2C4D"/>
          <w:sz w:val="21"/>
          <w:szCs w:val="21"/>
        </w:rPr>
        <w:t xml:space="preserve">Promote or roll back.</w:t>
      </w:r>
      <w:r>
        <w:rPr>
          <w:rFonts w:ascii="Calibri" w:cs="Calibri" w:eastAsia="Calibri" w:hAnsi="Calibri"/>
          <w:color w:val="1F2A33"/>
          <w:sz w:val="21"/>
          <w:szCs w:val="21"/>
        </w:rPr>
        <w:t xml:space="preserve"> Promotion requires no regression on any blocking suite and no degradation beyond tolerance on canary metrics. Rollback is a single action restoring the previous bundle and is exercised in a quarterly drill.</w:t>
      </w:r>
    </w:p>
    <w:p>
      <w:pPr>
        <w:pStyle w:val="ListParagraph"/>
        <w:numPr>
          <w:ilvl w:val="0"/>
          <w:numId w:val="3"/>
        </w:numPr>
        <w:spacing w:after="70" w:line="268"/>
      </w:pPr>
      <w:r>
        <w:rPr>
          <w:rFonts w:ascii="Calibri" w:cs="Calibri" w:eastAsia="Calibri" w:hAnsi="Calibri"/>
          <w:b/>
          <w:bCs/>
          <w:color w:val="0B2C4D"/>
          <w:sz w:val="21"/>
          <w:szCs w:val="21"/>
        </w:rPr>
        <w:t xml:space="preserve">Record.</w:t>
      </w:r>
      <w:r>
        <w:rPr>
          <w:rFonts w:ascii="Calibri" w:cs="Calibri" w:eastAsia="Calibri" w:hAnsi="Calibri"/>
          <w:color w:val="1F2A33"/>
          <w:sz w:val="21"/>
          <w:szCs w:val="21"/>
        </w:rPr>
        <w:t xml:space="preserve"> The release, its evaluation evidence and its approver are written to the immutable audit log and rendered on the agent’s Safety tab.</w:t>
      </w:r>
    </w:p>
    <w:p>
      <w:pPr>
        <w:pStyle w:val="Heading2"/>
        <w:spacing w:after="120" w:before="280"/>
      </w:pPr>
      <w:r>
        <w:rPr>
          <w:rFonts w:ascii="Calibri" w:cs="Calibri" w:eastAsia="Calibri" w:hAnsi="Calibri"/>
          <w:b/>
          <w:bCs/>
          <w:color w:val="117A8B"/>
          <w:sz w:val="25"/>
          <w:szCs w:val="25"/>
        </w:rPr>
        <w:t xml:space="preserve">29.4 Runtime Safety Controls</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419"/>
        <w:gridCol w:w="7661"/>
      </w:tblGrid>
      <w:tr>
        <w:trPr>
          <w:tblHeader/>
        </w:trPr>
        <w:tc>
          <w:tcPr>
            <w:tcW w:type="dxa" w:w="241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Control</w:t>
            </w:r>
          </w:p>
        </w:tc>
        <w:tc>
          <w:tcPr>
            <w:tcW w:type="dxa" w:w="766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Behaviour</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Untrusted content isolation</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Retrieved documents, tool results and user text are delivered to the model as data with explicit provenance framing and are never treated as instructions. Tool-call decisions derived solely from retrieved content are blocked and logged.</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Purpose enforcement</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tool call carries the purpose bound at grant time; a call without a valid purpose fails closed at the MCP gateway rather than at the model.</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Output filtering</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Sensitive-pattern detection on generated output as a defence in depth. A hit is a security event, and it is also treated as evidence that a masking policy upstream is missing.</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Blast-radius limits</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Row limits, cost classes and per-session call ceilings per tool. L2 agents draft only; L3 agents execute only reversible, scoped actions with an approval record and an undo path.</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Kill switch</w:t>
            </w:r>
          </w:p>
        </w:tc>
        <w:tc>
          <w:tcPr>
            <w:tcW w:type="dxa" w:w="766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 owner, steward or security officer can disable an agent instantly. Disabled agents remain visible with a status banner rather than vanishing, so consumers understand what happened.</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Red teaming</w:t>
            </w:r>
          </w:p>
        </w:tc>
        <w:tc>
          <w:tcPr>
            <w:tcW w:type="dxa" w:w="766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Quarterly structured exercise per L2 and L3 agent, and on any material scope change. Findings become permanent cases in the adversarial suite.</w:t>
            </w:r>
          </w:p>
        </w:tc>
      </w:tr>
    </w:tbl>
    <w:p>
      <w:pPr>
        <w:pStyle w:val="Heading2"/>
        <w:spacing w:after="120" w:before="280"/>
      </w:pPr>
      <w:r>
        <w:rPr>
          <w:rFonts w:ascii="Calibri" w:cs="Calibri" w:eastAsia="Calibri" w:hAnsi="Calibri"/>
          <w:b/>
          <w:bCs/>
          <w:color w:val="117A8B"/>
          <w:sz w:val="25"/>
          <w:szCs w:val="25"/>
        </w:rPr>
        <w:t xml:space="preserve">29.5 Documentation Obligations</w:t>
      </w:r>
    </w:p>
    <w:p>
      <w:pPr>
        <w:spacing w:after="120" w:line="276"/>
        <w:jc w:val="left"/>
      </w:pPr>
      <w:r>
        <w:rPr>
          <w:rFonts w:ascii="Calibri" w:cs="Calibri" w:eastAsia="Calibri" w:hAnsi="Calibri"/>
          <w:b w:val="false"/>
          <w:bCs w:val="false"/>
          <w:i w:val="false"/>
          <w:iCs w:val="false"/>
          <w:color w:val="1F2A33"/>
          <w:sz w:val="21"/>
          <w:szCs w:val="21"/>
        </w:rPr>
        <w:t xml:space="preserve">The agent listing is the transparency artifact. Purpose, data sources, limitations, out-of-scope statement, evaluation results, human oversight arrangement, autonomy level and owner are all published on it and versioned with the agent. This is deliberately the same content that a regulator, an internal model-risk committee or a curious business user would ask for, so there is one artifact rather than three that drift apart.</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30. Cost Governance &amp; FinOps</w:t>
      </w:r>
    </w:p>
    <w:p>
      <w:pPr>
        <w:spacing w:after="120" w:line="276"/>
        <w:jc w:val="left"/>
      </w:pPr>
      <w:r>
        <w:rPr>
          <w:rFonts w:ascii="Calibri" w:cs="Calibri" w:eastAsia="Calibri" w:hAnsi="Calibri"/>
          <w:b w:val="false"/>
          <w:bCs w:val="false"/>
          <w:i w:val="false"/>
          <w:iCs w:val="false"/>
          <w:color w:val="1F2A33"/>
          <w:sz w:val="21"/>
          <w:szCs w:val="21"/>
        </w:rPr>
        <w:t xml:space="preserve">Agents make cost per question a live operational metric rather than an annual platform line item. A marketplace that grows adoption without unit-economic visibility will succeed its way into a budget crisis.</w:t>
      </w:r>
    </w:p>
    <w:p>
      <w:pPr>
        <w:pStyle w:val="Heading2"/>
        <w:spacing w:after="120" w:before="280"/>
      </w:pPr>
      <w:r>
        <w:rPr>
          <w:rFonts w:ascii="Calibri" w:cs="Calibri" w:eastAsia="Calibri" w:hAnsi="Calibri"/>
          <w:b/>
          <w:bCs/>
          <w:color w:val="117A8B"/>
          <w:sz w:val="25"/>
          <w:szCs w:val="25"/>
        </w:rPr>
        <w:t xml:space="preserve">30.1 Cost Model</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5040"/>
        <w:gridCol w:w="302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Cost element</w:t>
            </w:r>
          </w:p>
        </w:tc>
        <w:tc>
          <w:tcPr>
            <w:tcW w:type="dxa" w:w="504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Attribution</w:t>
            </w:r>
          </w:p>
        </w:tc>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Rendered on</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Warehouse compute</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Per query, tagged with product, consumer, purpose and surface (SQL, REST, MCP, agent)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Product consumption tab, department showback</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Storage</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Per product including history depth and demo-tier copies</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Product cost of ownership in the value case</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Model inference</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Per answer: input and output tokens, model, tool-call count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 observability and value tabs</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Retrieval and vector</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Embedding refresh and search invocation per corpus product</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Product cost of ownership</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Platform</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Marketplace infrastructure allocated per active asset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Portfolio view only, never per consumer</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Stewardship</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Recorded effort hours per asset from the certification and backlog workflow</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Value case cost of ownership</w:t>
            </w:r>
          </w:p>
        </w:tc>
      </w:tr>
    </w:tbl>
    <w:p>
      <w:pPr>
        <w:pStyle w:val="Heading2"/>
        <w:spacing w:after="120" w:before="280"/>
      </w:pPr>
      <w:r>
        <w:rPr>
          <w:rFonts w:ascii="Calibri" w:cs="Calibri" w:eastAsia="Calibri" w:hAnsi="Calibri"/>
          <w:b/>
          <w:bCs/>
          <w:color w:val="117A8B"/>
          <w:sz w:val="25"/>
          <w:szCs w:val="25"/>
        </w:rPr>
        <w:t xml:space="preserve">30.2 Unit Economics</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cost_per_answer          = inference_cost + retrieval_cost + query_cost   (per agent answer)</w:t>
            </w:r>
          </w:p>
          <w:p>
            <w:pPr>
              <w:spacing w:after="0" w:line="240"/>
            </w:pPr>
            <w:r>
              <w:rPr>
                <w:rFonts w:ascii="Consolas" w:cs="Consolas" w:eastAsia="Consolas" w:hAnsi="Consolas"/>
                <w:color w:val="16323F"/>
                <w:sz w:val="16"/>
                <w:szCs w:val="16"/>
              </w:rPr>
              <w:t xml:space="preserve">cost_per_accepted_answer = cost_per_answer / answer_acceptance_rate</w:t>
            </w:r>
          </w:p>
          <w:p>
            <w:pPr>
              <w:spacing w:after="0" w:line="240"/>
            </w:pPr>
            <w:r>
              <w:rPr>
                <w:rFonts w:ascii="Consolas" w:cs="Consolas" w:eastAsia="Consolas" w:hAnsi="Consolas"/>
                <w:color w:val="16323F"/>
                <w:sz w:val="16"/>
                <w:szCs w:val="16"/>
              </w:rPr>
              <w:t xml:space="preserve">cost_per_active_consumer = total_asset_cost / distinct_consumers_90d      (per data product)</w:t>
            </w:r>
          </w:p>
          <w:p>
            <w:pPr>
              <w:spacing w:after="0" w:line="240"/>
            </w:pPr>
            <w:r>
              <w:rPr>
                <w:rFonts w:ascii="Consolas" w:cs="Consolas" w:eastAsia="Consolas" w:hAnsi="Consolas"/>
                <w:color w:val="16323F"/>
                <w:sz w:val="16"/>
                <w:szCs w:val="16"/>
              </w:rPr>
              <w:t xml:space="preserve">value_ratio              = realized_value / total_cost_of_ownership</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Standing targets, stored as rubric data and reviewed quarterly:</w:t>
            </w:r>
          </w:p>
          <w:p>
            <w:pPr>
              <w:spacing w:after="0" w:line="240"/>
            </w:pPr>
            <w:r>
              <w:rPr>
                <w:rFonts w:ascii="Consolas" w:cs="Consolas" w:eastAsia="Consolas" w:hAnsi="Consolas"/>
                <w:color w:val="16323F"/>
                <w:sz w:val="16"/>
                <w:szCs w:val="16"/>
              </w:rPr>
              <w:t xml:space="preserve">  cost_per_accepted_answer  &lt;= 0.35 × loaded cost of the manual alternative</w:t>
            </w:r>
          </w:p>
          <w:p>
            <w:pPr>
              <w:spacing w:after="0" w:line="240"/>
            </w:pPr>
            <w:r>
              <w:rPr>
                <w:rFonts w:ascii="Consolas" w:cs="Consolas" w:eastAsia="Consolas" w:hAnsi="Consolas"/>
                <w:color w:val="16323F"/>
                <w:sz w:val="16"/>
                <w:szCs w:val="16"/>
              </w:rPr>
              <w:t xml:space="preserve">  value_ratio               &gt;= 3.0 for certified assets after four quarters</w:t>
            </w:r>
          </w:p>
          <w:p>
            <w:pPr>
              <w:spacing w:after="0" w:line="240"/>
            </w:pPr>
            <w:r>
              <w:rPr>
                <w:rFonts w:ascii="Consolas" w:cs="Consolas" w:eastAsia="Consolas" w:hAnsi="Consolas"/>
                <w:color w:val="16323F"/>
                <w:sz w:val="16"/>
                <w:szCs w:val="16"/>
              </w:rPr>
              <w:t xml:space="preserve">  demo-tier cost            &lt;= 5% of total agent inference spend</w:t>
            </w:r>
          </w:p>
        </w:tc>
      </w:tr>
    </w:tbl>
    <w:p>
      <w:pPr>
        <w:pStyle w:val="Heading2"/>
        <w:spacing w:after="120" w:before="280"/>
      </w:pPr>
      <w:r>
        <w:rPr>
          <w:rFonts w:ascii="Calibri" w:cs="Calibri" w:eastAsia="Calibri" w:hAnsi="Calibri"/>
          <w:b/>
          <w:bCs/>
          <w:color w:val="117A8B"/>
          <w:sz w:val="25"/>
          <w:szCs w:val="25"/>
        </w:rPr>
        <w:t xml:space="preserve">30.3 Controls</w:t>
      </w:r>
    </w:p>
    <w:p>
      <w:pPr>
        <w:pStyle w:val="ListParagraph"/>
        <w:numPr>
          <w:ilvl w:val="0"/>
          <w:numId w:val="2"/>
        </w:numPr>
        <w:spacing w:after="70" w:line="268"/>
      </w:pPr>
      <w:r>
        <w:rPr>
          <w:rFonts w:ascii="Calibri" w:cs="Calibri" w:eastAsia="Calibri" w:hAnsi="Calibri"/>
          <w:b/>
          <w:bCs/>
          <w:color w:val="0B2C4D"/>
          <w:sz w:val="21"/>
          <w:szCs w:val="21"/>
        </w:rPr>
        <w:t xml:space="preserve">Budgets and alerts per asset and per department</w:t>
      </w:r>
      <w:r>
        <w:rPr>
          <w:rFonts w:ascii="Calibri" w:cs="Calibri" w:eastAsia="Calibri" w:hAnsi="Calibri"/>
          <w:color w:val="1F2A33"/>
          <w:sz w:val="21"/>
          <w:szCs w:val="21"/>
        </w:rPr>
        <w:t xml:space="preserve">, with a soft threshold that notifies the owner and a hard threshold that throttles non-interactive workloads before it throttles interactive ones.</w:t>
      </w:r>
    </w:p>
    <w:p>
      <w:pPr>
        <w:pStyle w:val="ListParagraph"/>
        <w:numPr>
          <w:ilvl w:val="0"/>
          <w:numId w:val="2"/>
        </w:numPr>
        <w:spacing w:after="70" w:line="268"/>
      </w:pPr>
      <w:r>
        <w:rPr>
          <w:rFonts w:ascii="Calibri" w:cs="Calibri" w:eastAsia="Calibri" w:hAnsi="Calibri"/>
          <w:b/>
          <w:bCs/>
          <w:color w:val="0B2C4D"/>
          <w:sz w:val="21"/>
          <w:szCs w:val="21"/>
        </w:rPr>
        <w:t xml:space="preserve">Cost classes on every MCP tool</w:t>
      </w:r>
      <w:r>
        <w:rPr>
          <w:rFonts w:ascii="Calibri" w:cs="Calibri" w:eastAsia="Calibri" w:hAnsi="Calibri"/>
          <w:color w:val="1F2A33"/>
          <w:sz w:val="21"/>
          <w:szCs w:val="21"/>
        </w:rPr>
        <w:t xml:space="preserve"> so an agent cannot accidentally invoke a full-scan tool in a loop; the class is declared in the manifest and enforced at the gateway.</w:t>
      </w:r>
    </w:p>
    <w:p>
      <w:pPr>
        <w:pStyle w:val="ListParagraph"/>
        <w:numPr>
          <w:ilvl w:val="0"/>
          <w:numId w:val="2"/>
        </w:numPr>
        <w:spacing w:after="70" w:line="268"/>
      </w:pPr>
      <w:r>
        <w:rPr>
          <w:rFonts w:ascii="Calibri" w:cs="Calibri" w:eastAsia="Calibri" w:hAnsi="Calibri"/>
          <w:b/>
          <w:bCs/>
          <w:color w:val="0B2C4D"/>
          <w:sz w:val="21"/>
          <w:szCs w:val="21"/>
        </w:rPr>
        <w:t xml:space="preserve">Anomaly detection on cost per query</w:t>
      </w:r>
      <w:r>
        <w:rPr>
          <w:rFonts w:ascii="Calibri" w:cs="Calibri" w:eastAsia="Calibri" w:hAnsi="Calibri"/>
          <w:color w:val="1F2A33"/>
          <w:sz w:val="21"/>
          <w:szCs w:val="21"/>
        </w:rPr>
        <w:t xml:space="preserve"> with volume held constant, which catches inefficient rewrites and runaway retries earlier than any monthly bill review.</w:t>
      </w:r>
    </w:p>
    <w:p>
      <w:pPr>
        <w:pStyle w:val="ListParagraph"/>
        <w:numPr>
          <w:ilvl w:val="0"/>
          <w:numId w:val="2"/>
        </w:numPr>
        <w:spacing w:after="70" w:line="268"/>
      </w:pPr>
      <w:r>
        <w:rPr>
          <w:rFonts w:ascii="Calibri" w:cs="Calibri" w:eastAsia="Calibri" w:hAnsi="Calibri"/>
          <w:b/>
          <w:bCs/>
          <w:color w:val="0B2C4D"/>
          <w:sz w:val="21"/>
          <w:szCs w:val="21"/>
        </w:rPr>
        <w:t xml:space="preserve">Retirement economics.</w:t>
      </w:r>
      <w:r>
        <w:rPr>
          <w:rFonts w:ascii="Calibri" w:cs="Calibri" w:eastAsia="Calibri" w:hAnsi="Calibri"/>
          <w:color w:val="1F2A33"/>
          <w:sz w:val="21"/>
          <w:szCs w:val="21"/>
        </w:rPr>
        <w:t xml:space="preserve"> The portfolio view ranks assets by cost with no offsetting adoption; a product with zero queries in 90 days and non-trivial storage is proposed for deprecation automatically, with the saving quantified.</w:t>
      </w:r>
    </w:p>
    <w:p>
      <w:pPr>
        <w:pStyle w:val="ListParagraph"/>
        <w:numPr>
          <w:ilvl w:val="0"/>
          <w:numId w:val="2"/>
        </w:numPr>
        <w:spacing w:after="70" w:line="268"/>
      </w:pPr>
      <w:r>
        <w:rPr>
          <w:rFonts w:ascii="Calibri" w:cs="Calibri" w:eastAsia="Calibri" w:hAnsi="Calibri"/>
          <w:b/>
          <w:bCs/>
          <w:color w:val="0B2C4D"/>
          <w:sz w:val="21"/>
          <w:szCs w:val="21"/>
        </w:rPr>
        <w:t xml:space="preserve">Chargeback is optional, showback is not.</w:t>
      </w:r>
      <w:r>
        <w:rPr>
          <w:rFonts w:ascii="Calibri" w:cs="Calibri" w:eastAsia="Calibri" w:hAnsi="Calibri"/>
          <w:color w:val="1F2A33"/>
          <w:sz w:val="21"/>
          <w:szCs w:val="21"/>
        </w:rPr>
        <w:t xml:space="preserve"> Every department can see what it consumed whether or not the organisation charges for it, because visibility alone changes behaviour.</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31. Standards &amp; Interoperability</w:t>
      </w:r>
    </w:p>
    <w:p>
      <w:pPr>
        <w:spacing w:after="120" w:line="276"/>
        <w:jc w:val="left"/>
      </w:pPr>
      <w:r>
        <w:rPr>
          <w:rFonts w:ascii="Calibri" w:cs="Calibri" w:eastAsia="Calibri" w:hAnsi="Calibri"/>
          <w:b w:val="false"/>
          <w:bCs w:val="false"/>
          <w:i w:val="false"/>
          <w:iCs w:val="false"/>
          <w:color w:val="1F2A33"/>
          <w:sz w:val="21"/>
          <w:szCs w:val="21"/>
        </w:rPr>
        <w:t xml:space="preserve">Every interface in this platform is an existing open standard where one exists. Proprietary interfaces are a liability at enterprise scale: they raise integration cost, complicate security review, and make the platform harder to displace for the wrong reason. Conformance is asserted by tests, not claimed in marketing.</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419"/>
        <w:gridCol w:w="4032"/>
        <w:gridCol w:w="3629"/>
      </w:tblGrid>
      <w:tr>
        <w:trPr>
          <w:tblHeader/>
        </w:trPr>
        <w:tc>
          <w:tcPr>
            <w:tcW w:type="dxa" w:w="241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Standard</w:t>
            </w:r>
          </w:p>
        </w:tc>
        <w:tc>
          <w:tcPr>
            <w:tcW w:type="dxa" w:w="403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Used for</w:t>
            </w:r>
          </w:p>
        </w:tc>
        <w:tc>
          <w:tcPr>
            <w:tcW w:type="dxa" w:w="362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Conformance test</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Open data product / data contract specification</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Product manifest and contract structure, with platform extensions namespaced separately</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Manifests validate against the published schema in CI; extensions live under a reserved key</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OpenLineage</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Lineage ingestion from pipelines and emission of marketplace-derived lineage</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Round-trip test: emitted events re-ingest without loss</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Model Context Protocol</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AI consumption surface for every data product and the tool binding surface for agents</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Generated servers pass an MCP conformance suite; a third-party client consumes a product with no bespoke code</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Agent interoperability descriptors</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Publishing agent capability, scope and invocation metadata for cross-platform discovery</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Agent card generated from the manifest and validated; kept optional until the standard stabilises</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OpenAPI 3.1</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REST surface and generated SDKs</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Spec generated from source; drift between code and spec fails the build</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OpenTelemetry</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Traces, metrics and logs across portal, API, MCP gateway and platform query</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trace ID spans the full path in an end-to-end test</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OIDC and SCIM</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Authentication and user or group provisioning</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Integration test against a reference IdP</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OAuth 2.0 with delegated identity</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Agent and application access, purpose-scoped</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Scope escalation and missing-purpose cases fail closed in the security suite</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DCAT-family catalog vocabularies</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Publishing listings outward to enterprise catalogs and, where relevant, public registers</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Export validates; a round-trip into a connected catalog preserves identifiers</w:t>
            </w:r>
          </w:p>
        </w:tc>
      </w:tr>
      <w:tr>
        <w:tc>
          <w:tcPr>
            <w:tcW w:type="dxa" w:w="241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Open table and sharing formats</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Cross-platform product distribution without copying data</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 product is consumed from a second engine through a share with no schema change</w:t>
            </w:r>
          </w:p>
        </w:tc>
      </w:tr>
      <w:tr>
        <w:tc>
          <w:tcPr>
            <w:tcW w:type="dxa" w:w="241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WCAG 2.2 AA</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user-facing surface including both meshes and all motion</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Automated axe suite plus a manual keyboard and screen-reader pass per release</w:t>
            </w:r>
          </w:p>
        </w:tc>
      </w:tr>
    </w:tbl>
    <w:p>
      <w:pPr>
        <w:spacing w:after="120" w:line="276"/>
        <w:jc w:val="left"/>
      </w:pPr>
      <w:r>
        <w:rPr>
          <w:rFonts w:ascii="Calibri" w:cs="Calibri" w:eastAsia="Calibri" w:hAnsi="Calibri"/>
          <w:b w:val="false"/>
          <w:bCs w:val="false"/>
          <w:i w:val="false"/>
          <w:iCs w:val="false"/>
          <w:color w:val="1F2A33"/>
          <w:sz w:val="21"/>
          <w:szCs w:val="21"/>
        </w:rPr>
        <w:t xml:space="preserve">Where a standard is immature — agent interoperability descriptors are the clear example today — the platform generates the artifact from its own manifest and treats the standard as an output format rather than an internal model. That keeps the canonical model stable while the ecosystem settles.</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32. Design System &amp; Front-End Engineering</w:t>
      </w:r>
    </w:p>
    <w:p>
      <w:pPr>
        <w:pStyle w:val="Heading2"/>
        <w:spacing w:after="120" w:before="280"/>
      </w:pPr>
      <w:r>
        <w:rPr>
          <w:rFonts w:ascii="Calibri" w:cs="Calibri" w:eastAsia="Calibri" w:hAnsi="Calibri"/>
          <w:b/>
          <w:bCs/>
          <w:color w:val="117A8B"/>
          <w:sz w:val="25"/>
          <w:szCs w:val="25"/>
        </w:rPr>
        <w:t xml:space="preserve">32.1 Token Architecture</w:t>
      </w:r>
    </w:p>
    <w:p>
      <w:pPr>
        <w:spacing w:after="120" w:line="276"/>
        <w:jc w:val="left"/>
      </w:pPr>
      <w:r>
        <w:rPr>
          <w:rFonts w:ascii="Calibri" w:cs="Calibri" w:eastAsia="Calibri" w:hAnsi="Calibri"/>
          <w:b w:val="false"/>
          <w:bCs w:val="false"/>
          <w:i w:val="false"/>
          <w:iCs w:val="false"/>
          <w:color w:val="1F2A33"/>
          <w:sz w:val="21"/>
          <w:szCs w:val="21"/>
        </w:rPr>
        <w:t xml:space="preserve">Three token tiers. Primitives are raw values; semantic tokens name intent; component tokens bind intent to a component. Application code references only semantic and component tokens, which is what makes white-labelling a configuration change rather than a refactor.</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primitive   navy.900 #0B2C4D   teal.600 #117A8B   gold.600 #B98A1B   ink.900 #1F2A33</w:t>
            </w:r>
          </w:p>
          <w:p>
            <w:pPr>
              <w:spacing w:after="0" w:line="240"/>
            </w:pPr>
            <w:r>
              <w:rPr>
                <w:rFonts w:ascii="Consolas" w:cs="Consolas" w:eastAsia="Consolas" w:hAnsi="Consolas"/>
                <w:color w:val="16323F"/>
                <w:sz w:val="16"/>
                <w:szCs w:val="16"/>
              </w:rPr>
              <w:t xml:space="preserve">semantic    surface.canvas · surface.raised · text.primary · text.muted · accent.primary</w:t>
            </w:r>
          </w:p>
          <w:p>
            <w:pPr>
              <w:spacing w:after="0" w:line="240"/>
            </w:pPr>
            <w:r>
              <w:rPr>
                <w:rFonts w:ascii="Consolas" w:cs="Consolas" w:eastAsia="Consolas" w:hAnsi="Consolas"/>
                <w:color w:val="16323F"/>
                <w:sz w:val="16"/>
                <w:szCs w:val="16"/>
              </w:rPr>
              <w:t xml:space="preserve">            action.primary · status.healthy · status.watch · status.risk · focus.ring</w:t>
            </w:r>
          </w:p>
          <w:p>
            <w:pPr>
              <w:spacing w:after="0" w:line="240"/>
            </w:pPr>
            <w:r>
              <w:rPr>
                <w:rFonts w:ascii="Consolas" w:cs="Consolas" w:eastAsia="Consolas" w:hAnsi="Consolas"/>
                <w:color w:val="16323F"/>
                <w:sz w:val="16"/>
                <w:szCs w:val="16"/>
              </w:rPr>
              <w:t xml:space="preserve">component   card.radius · card.shadow.rest · card.shadow.hover · ring.quality.track</w:t>
            </w:r>
          </w:p>
          <w:p>
            <w:pPr>
              <w:spacing w:after="0" w:line="240"/>
            </w:pPr>
            <w:r>
              <w:rPr>
                <w:rFonts w:ascii="Consolas" w:cs="Consolas" w:eastAsia="Consolas" w:hAnsi="Consolas"/>
                <w:color w:val="16323F"/>
                <w:sz w:val="16"/>
                <w:szCs w:val="16"/>
              </w:rPr>
              <w:t xml:space="preserve">            ribbon.speed.row1 · constellation.node.max · theatre.type.cps</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PRODUCT_NAME, wordmark asset and the primitive palette are tenant theme configuration.</w:t>
            </w:r>
          </w:p>
          <w:p>
            <w:pPr>
              <w:spacing w:after="0" w:line="240"/>
            </w:pPr>
            <w:r>
              <w:rPr>
                <w:rFonts w:ascii="Consolas" w:cs="Consolas" w:eastAsia="Consolas" w:hAnsi="Consolas"/>
                <w:color w:val="16323F"/>
                <w:sz w:val="16"/>
                <w:szCs w:val="16"/>
              </w:rPr>
              <w:t xml:space="preserve">CI asserts that no hex value and no brand string appears outside the token definition files.</w:t>
            </w:r>
          </w:p>
        </w:tc>
      </w:tr>
    </w:tbl>
    <w:p>
      <w:pPr>
        <w:pStyle w:val="Heading2"/>
        <w:spacing w:after="120" w:before="280"/>
      </w:pPr>
      <w:r>
        <w:rPr>
          <w:rFonts w:ascii="Calibri" w:cs="Calibri" w:eastAsia="Calibri" w:hAnsi="Calibri"/>
          <w:b/>
          <w:bCs/>
          <w:color w:val="117A8B"/>
          <w:sz w:val="25"/>
          <w:szCs w:val="25"/>
        </w:rPr>
        <w:t xml:space="preserve">32.2 Component Inventory</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2016"/>
        <w:gridCol w:w="8064"/>
      </w:tblGrid>
      <w:tr>
        <w:trPr>
          <w:tblHeader/>
        </w:trPr>
        <w:tc>
          <w:tcPr>
            <w:tcW w:type="dxa" w:w="201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Group</w:t>
            </w:r>
          </w:p>
        </w:tc>
        <w:tc>
          <w:tcPr>
            <w:tcW w:type="dxa" w:w="806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Components</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Identity and status</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ring · freshness pill · certification mark · sensitivity chip · autonomy badge · trust banner · confidence chip</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Discovery</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Universal search · facet rail · product card · agent card · compare matrix · empty state with demand CTA</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Detail</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Persistent asset header · tab shell · schema table · contract viewer with diff · endpoint block with copy and test-access · adoption charts · value case panel</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Conversation</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Demo console shell · streaming answer block · citation chip · tool-trace rail · feedback control · out-of-scope handoff card</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Graph</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canvas · node peek card · edge rationale popover · blast-radius control · accessible edge table</w:t>
            </w:r>
          </w:p>
        </w:tc>
      </w:tr>
      <w:tr>
        <w:tc>
          <w:tcPr>
            <w:tcW w:type="dxa" w:w="201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Workflow</w:t>
            </w:r>
          </w:p>
        </w:tc>
        <w:tc>
          <w:tcPr>
            <w:tcW w:type="dxa" w:w="806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Request form · policy evaluation preview · approval card · SLA clock · entitlement row · backlog item with votes</w:t>
            </w:r>
          </w:p>
        </w:tc>
      </w:tr>
      <w:tr>
        <w:tc>
          <w:tcPr>
            <w:tcW w:type="dxa" w:w="201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Motion</w:t>
            </w:r>
          </w:p>
        </w:tc>
        <w:tc>
          <w:tcPr>
            <w:tcW w:type="dxa" w:w="806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Motion controller · ribbon track · constellation renderer · answer theatre · counter · activity ticker</w:t>
            </w:r>
          </w:p>
        </w:tc>
      </w:tr>
    </w:tbl>
    <w:p>
      <w:pPr>
        <w:pStyle w:val="Heading2"/>
        <w:spacing w:after="120" w:before="280"/>
      </w:pPr>
      <w:r>
        <w:rPr>
          <w:rFonts w:ascii="Calibri" w:cs="Calibri" w:eastAsia="Calibri" w:hAnsi="Calibri"/>
          <w:b/>
          <w:bCs/>
          <w:color w:val="117A8B"/>
          <w:sz w:val="25"/>
          <w:szCs w:val="25"/>
        </w:rPr>
        <w:t xml:space="preserve">32.3 Engineering Rules</w:t>
      </w:r>
    </w:p>
    <w:p>
      <w:pPr>
        <w:pStyle w:val="ListParagraph"/>
        <w:numPr>
          <w:ilvl w:val="0"/>
          <w:numId w:val="2"/>
        </w:numPr>
        <w:spacing w:after="70" w:line="268"/>
      </w:pPr>
      <w:r>
        <w:rPr>
          <w:rFonts w:ascii="Calibri" w:cs="Calibri" w:eastAsia="Calibri" w:hAnsi="Calibri"/>
          <w:b/>
          <w:bCs/>
          <w:color w:val="0B2C4D"/>
          <w:sz w:val="21"/>
          <w:szCs w:val="21"/>
        </w:rPr>
        <w:t xml:space="preserve">Server components by default.</w:t>
      </w:r>
      <w:r>
        <w:rPr>
          <w:rFonts w:ascii="Calibri" w:cs="Calibri" w:eastAsia="Calibri" w:hAnsi="Calibri"/>
          <w:color w:val="1F2A33"/>
          <w:sz w:val="21"/>
          <w:szCs w:val="21"/>
        </w:rPr>
        <w:t xml:space="preserve"> The landing page and every catalog page render on the server with no client-side data dependency for first paint. Client components exist only where interaction requires them.</w:t>
      </w:r>
    </w:p>
    <w:p>
      <w:pPr>
        <w:pStyle w:val="ListParagraph"/>
        <w:numPr>
          <w:ilvl w:val="0"/>
          <w:numId w:val="2"/>
        </w:numPr>
        <w:spacing w:after="70" w:line="268"/>
      </w:pPr>
      <w:r>
        <w:rPr>
          <w:rFonts w:ascii="Calibri" w:cs="Calibri" w:eastAsia="Calibri" w:hAnsi="Calibri"/>
          <w:b/>
          <w:bCs/>
          <w:color w:val="0B2C4D"/>
          <w:sz w:val="21"/>
          <w:szCs w:val="21"/>
        </w:rPr>
        <w:t xml:space="preserve">Every component ships five states</w:t>
      </w:r>
      <w:r>
        <w:rPr>
          <w:rFonts w:ascii="Calibri" w:cs="Calibri" w:eastAsia="Calibri" w:hAnsi="Calibri"/>
          <w:color w:val="1F2A33"/>
          <w:sz w:val="21"/>
          <w:szCs w:val="21"/>
        </w:rPr>
        <w:t xml:space="preserve">: loading, empty, error, partial-permission and populated. Partial-permission is the one teams forget and the one that matters most here, because a consumer routinely sees an asset they cannot yet query.</w:t>
      </w:r>
    </w:p>
    <w:p>
      <w:pPr>
        <w:pStyle w:val="ListParagraph"/>
        <w:numPr>
          <w:ilvl w:val="0"/>
          <w:numId w:val="2"/>
        </w:numPr>
        <w:spacing w:after="70" w:line="268"/>
      </w:pPr>
      <w:r>
        <w:rPr>
          <w:rFonts w:ascii="Calibri" w:cs="Calibri" w:eastAsia="Calibri" w:hAnsi="Calibri"/>
          <w:b/>
          <w:bCs/>
          <w:color w:val="0B2C4D"/>
          <w:sz w:val="21"/>
          <w:szCs w:val="21"/>
        </w:rPr>
        <w:t xml:space="preserve">Skeletons are for in-app surfaces only.</w:t>
      </w:r>
      <w:r>
        <w:rPr>
          <w:rFonts w:ascii="Calibri" w:cs="Calibri" w:eastAsia="Calibri" w:hAnsi="Calibri"/>
          <w:color w:val="1F2A33"/>
          <w:sz w:val="21"/>
          <w:szCs w:val="21"/>
        </w:rPr>
        <w:t xml:space="preserve"> The marketing landing page never renders skeletons; it renders cached content with an as-of stamp or it omits the band.</w:t>
      </w:r>
    </w:p>
    <w:p>
      <w:pPr>
        <w:pStyle w:val="ListParagraph"/>
        <w:numPr>
          <w:ilvl w:val="0"/>
          <w:numId w:val="2"/>
        </w:numPr>
        <w:spacing w:after="70" w:line="268"/>
      </w:pPr>
      <w:r>
        <w:rPr>
          <w:rFonts w:ascii="Calibri" w:cs="Calibri" w:eastAsia="Calibri" w:hAnsi="Calibri"/>
          <w:b/>
          <w:bCs/>
          <w:color w:val="0B2C4D"/>
          <w:sz w:val="21"/>
          <w:szCs w:val="21"/>
        </w:rPr>
        <w:t xml:space="preserve">Responsive contract</w:t>
      </w:r>
      <w:r>
        <w:rPr>
          <w:rFonts w:ascii="Calibri" w:cs="Calibri" w:eastAsia="Calibri" w:hAnsi="Calibri"/>
          <w:color w:val="1F2A33"/>
          <w:sz w:val="21"/>
          <w:szCs w:val="21"/>
        </w:rPr>
        <w:t xml:space="preserve">: three breakpoints (≥1440, ≥1024, &lt;768) with defined degradations for the ribbon, constellation and mesh explorer at each. Mobile is a first-class read surface for approvals and listings, not an afterthought.</w:t>
      </w:r>
    </w:p>
    <w:p>
      <w:pPr>
        <w:pStyle w:val="ListParagraph"/>
        <w:numPr>
          <w:ilvl w:val="0"/>
          <w:numId w:val="2"/>
        </w:numPr>
        <w:spacing w:after="70" w:line="268"/>
      </w:pPr>
      <w:r>
        <w:rPr>
          <w:rFonts w:ascii="Calibri" w:cs="Calibri" w:eastAsia="Calibri" w:hAnsi="Calibri"/>
          <w:b/>
          <w:bCs/>
          <w:color w:val="0B2C4D"/>
          <w:sz w:val="21"/>
          <w:szCs w:val="21"/>
        </w:rPr>
        <w:t xml:space="preserve">Internationalisation from day one</w:t>
      </w:r>
      <w:r>
        <w:rPr>
          <w:rFonts w:ascii="Calibri" w:cs="Calibri" w:eastAsia="Calibri" w:hAnsi="Calibri"/>
          <w:color w:val="1F2A33"/>
          <w:sz w:val="21"/>
          <w:szCs w:val="21"/>
        </w:rPr>
        <w:t xml:space="preserve">: externalised copy, locale-aware number, date and currency formatting, layout verified at 35% string expansion, and RTL mirroring for layout and mesh direction.</w:t>
      </w:r>
    </w:p>
    <w:p>
      <w:pPr>
        <w:pStyle w:val="ListParagraph"/>
        <w:numPr>
          <w:ilvl w:val="0"/>
          <w:numId w:val="2"/>
        </w:numPr>
        <w:spacing w:after="70" w:line="268"/>
      </w:pPr>
      <w:r>
        <w:rPr>
          <w:rFonts w:ascii="Calibri" w:cs="Calibri" w:eastAsia="Calibri" w:hAnsi="Calibri"/>
          <w:b/>
          <w:bCs/>
          <w:color w:val="0B2C4D"/>
          <w:sz w:val="21"/>
          <w:szCs w:val="21"/>
        </w:rPr>
        <w:t xml:space="preserve">Storybook plus visual regression</w:t>
      </w:r>
      <w:r>
        <w:rPr>
          <w:rFonts w:ascii="Calibri" w:cs="Calibri" w:eastAsia="Calibri" w:hAnsi="Calibri"/>
          <w:color w:val="1F2A33"/>
          <w:sz w:val="21"/>
          <w:szCs w:val="21"/>
        </w:rPr>
        <w:t xml:space="preserve"> on every component in every state and both motion modes. A visual diff is a review conversation, not an automatic failure.</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33. Testing, Environments &amp; Release Engineering</w:t>
      </w:r>
    </w:p>
    <w:p>
      <w:pPr>
        <w:pStyle w:val="Heading2"/>
        <w:spacing w:after="120" w:before="280"/>
      </w:pPr>
      <w:r>
        <w:rPr>
          <w:rFonts w:ascii="Calibri" w:cs="Calibri" w:eastAsia="Calibri" w:hAnsi="Calibri"/>
          <w:b/>
          <w:bCs/>
          <w:color w:val="117A8B"/>
          <w:sz w:val="25"/>
          <w:szCs w:val="25"/>
        </w:rPr>
        <w:t xml:space="preserve">33.1 Test Strategy</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512"/>
        <w:gridCol w:w="4536"/>
        <w:gridCol w:w="4032"/>
      </w:tblGrid>
      <w:tr>
        <w:trPr>
          <w:tblHeader/>
        </w:trPr>
        <w:tc>
          <w:tcPr>
            <w:tcW w:type="dxa" w:w="151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Layer</w:t>
            </w:r>
          </w:p>
        </w:tc>
        <w:tc>
          <w:tcPr>
            <w:tcW w:type="dxa" w:w="453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Scope</w:t>
            </w:r>
          </w:p>
        </w:tc>
        <w:tc>
          <w:tcPr>
            <w:tcW w:type="dxa" w:w="403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Bar</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Unit</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Scoring arithmetic, rubric resolution, mesh edge maths, deflection model, policy evaluation</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rubric-driven calculation has a table-driven test asserting the value changes when the rubric changes</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Contract</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Generated OpenAPI, MCP servers and SDKs against the manifests that produced them</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Regeneration produces no diff; a hand edit to a generated file fails the build</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Golden fixture</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Score reproducibility: a pinned evidence set plus a pinned rubric version reproduces a prior composite exactly</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Byte-identical re-score, asserted for at least three historical snapshots</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Publish gate</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full product and agent gates implemented as executable tests</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An agent with four demo exchanges, a missing limitation statement or an uncited KPI is rejected with a precise message</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Kill test</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Connector service principals attempting writes to every supported platform</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Every attempt fails; the test runs against a real sandbox account, not a mock</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Security</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Entitlement escalation, purpose bypass, injection through retrieved content, cross-tenant access</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Fails closed in every case; suite is versioned centrally and run on every release</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End-to-end</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signature journey: search, demo, request, approve, provision, first query</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Runs on every merge against seeded data, under 8 minutes</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Performance</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Landing page budgets, catalog search p95, mesh render, motion frame rate under CPU throttling</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Budgets in Section 24 and 6.10 asserted; regression fails the build</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Accessibility</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Automated axe pass plus scripted keyboard and screen-reader journeys on the ten highest-traffic surfaces</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Zero critical violations; motion suite runs in both motion modes</w:t>
            </w:r>
          </w:p>
        </w:tc>
      </w:tr>
      <w:tr>
        <w:tc>
          <w:tcPr>
            <w:tcW w:type="dxa" w:w="151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Load and soak</w:t>
            </w:r>
          </w:p>
        </w:tc>
        <w:tc>
          <w:tcPr>
            <w:tcW w:type="dxa" w:w="453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Catalog at 50k assets, 500 concurrent sessions, 50M daily telemetry events</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Quarterly, and before any tenant onboarding above 10k assets</w:t>
            </w:r>
          </w:p>
        </w:tc>
      </w:tr>
      <w:tr>
        <w:tc>
          <w:tcPr>
            <w:tcW w:type="dxa" w:w="151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Chaos</w:t>
            </w:r>
          </w:p>
        </w:tc>
        <w:tc>
          <w:tcPr>
            <w:tcW w:type="dxa" w:w="453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Data plane unreachable, connector auth expiry, model provider outage, workflow engine restart mid-approval</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Documented degradation holds; no approval is lost or double-applied</w:t>
            </w:r>
          </w:p>
        </w:tc>
      </w:tr>
    </w:tbl>
    <w:p>
      <w:pPr>
        <w:pStyle w:val="Heading2"/>
        <w:spacing w:after="120" w:before="280"/>
      </w:pPr>
      <w:r>
        <w:rPr>
          <w:rFonts w:ascii="Calibri" w:cs="Calibri" w:eastAsia="Calibri" w:hAnsi="Calibri"/>
          <w:b/>
          <w:bCs/>
          <w:color w:val="117A8B"/>
          <w:sz w:val="25"/>
          <w:szCs w:val="25"/>
        </w:rPr>
        <w:t xml:space="preserve">33.2 Environments and Release</w:t>
      </w:r>
    </w:p>
    <w:p>
      <w:pPr>
        <w:pStyle w:val="ListParagraph"/>
        <w:numPr>
          <w:ilvl w:val="0"/>
          <w:numId w:val="2"/>
        </w:numPr>
        <w:spacing w:after="70" w:line="268"/>
      </w:pPr>
      <w:r>
        <w:rPr>
          <w:rFonts w:ascii="Calibri" w:cs="Calibri" w:eastAsia="Calibri" w:hAnsi="Calibri"/>
          <w:b/>
          <w:bCs/>
          <w:color w:val="0B2C4D"/>
          <w:sz w:val="21"/>
          <w:szCs w:val="21"/>
        </w:rPr>
        <w:t xml:space="preserve">Four environments</w:t>
      </w:r>
      <w:r>
        <w:rPr>
          <w:rFonts w:ascii="Calibri" w:cs="Calibri" w:eastAsia="Calibri" w:hAnsi="Calibri"/>
          <w:color w:val="1F2A33"/>
          <w:sz w:val="21"/>
          <w:szCs w:val="21"/>
        </w:rPr>
        <w:t xml:space="preserve">: local with seeded synthetic data, ephemeral preview per pull request, staging with a full seed catalog and a sandbox platform account, production per tenant.</w:t>
      </w:r>
    </w:p>
    <w:p>
      <w:pPr>
        <w:pStyle w:val="ListParagraph"/>
        <w:numPr>
          <w:ilvl w:val="0"/>
          <w:numId w:val="2"/>
        </w:numPr>
        <w:spacing w:after="70" w:line="268"/>
      </w:pPr>
      <w:r>
        <w:rPr>
          <w:rFonts w:ascii="Calibri" w:cs="Calibri" w:eastAsia="Calibri" w:hAnsi="Calibri"/>
          <w:b/>
          <w:bCs/>
          <w:color w:val="0B2C4D"/>
          <w:sz w:val="21"/>
          <w:szCs w:val="21"/>
        </w:rPr>
        <w:t xml:space="preserve">Feature flags</w:t>
      </w:r>
      <w:r>
        <w:rPr>
          <w:rFonts w:ascii="Calibri" w:cs="Calibri" w:eastAsia="Calibri" w:hAnsi="Calibri"/>
          <w:color w:val="1F2A33"/>
          <w:sz w:val="21"/>
          <w:szCs w:val="21"/>
        </w:rPr>
        <w:t xml:space="preserve"> for every user-visible change, with flags typed as release, experiment or operational and a maximum age before removal is enforced by a lint rule.</w:t>
      </w:r>
    </w:p>
    <w:p>
      <w:pPr>
        <w:pStyle w:val="ListParagraph"/>
        <w:numPr>
          <w:ilvl w:val="0"/>
          <w:numId w:val="2"/>
        </w:numPr>
        <w:spacing w:after="70" w:line="268"/>
      </w:pPr>
      <w:r>
        <w:rPr>
          <w:rFonts w:ascii="Calibri" w:cs="Calibri" w:eastAsia="Calibri" w:hAnsi="Calibri"/>
          <w:b/>
          <w:bCs/>
          <w:color w:val="0B2C4D"/>
          <w:sz w:val="21"/>
          <w:szCs w:val="21"/>
        </w:rPr>
        <w:t xml:space="preserve">Migrations are forward-only and reversible-by-compensation.</w:t>
      </w:r>
      <w:r>
        <w:rPr>
          <w:rFonts w:ascii="Calibri" w:cs="Calibri" w:eastAsia="Calibri" w:hAnsi="Calibri"/>
          <w:color w:val="1F2A33"/>
          <w:sz w:val="21"/>
          <w:szCs w:val="21"/>
        </w:rPr>
        <w:t xml:space="preserve"> Publication snapshots and audit tables are append-only and never migrated destructively.</w:t>
      </w:r>
    </w:p>
    <w:p>
      <w:pPr>
        <w:pStyle w:val="ListParagraph"/>
        <w:numPr>
          <w:ilvl w:val="0"/>
          <w:numId w:val="2"/>
        </w:numPr>
        <w:spacing w:after="70" w:line="268"/>
      </w:pPr>
      <w:r>
        <w:rPr>
          <w:rFonts w:ascii="Calibri" w:cs="Calibri" w:eastAsia="Calibri" w:hAnsi="Calibri"/>
          <w:b/>
          <w:bCs/>
          <w:color w:val="0B2C4D"/>
          <w:sz w:val="21"/>
          <w:szCs w:val="21"/>
        </w:rPr>
        <w:t xml:space="preserve">Progressive delivery</w:t>
      </w:r>
      <w:r>
        <w:rPr>
          <w:rFonts w:ascii="Calibri" w:cs="Calibri" w:eastAsia="Calibri" w:hAnsi="Calibri"/>
          <w:color w:val="1F2A33"/>
          <w:sz w:val="21"/>
          <w:szCs w:val="21"/>
        </w:rPr>
        <w:t xml:space="preserve">: canary by tenant cohort for the platform, canary by traffic share for agents. Both are the same mechanism with different keys.</w:t>
      </w:r>
    </w:p>
    <w:p>
      <w:pPr>
        <w:pStyle w:val="ListParagraph"/>
        <w:numPr>
          <w:ilvl w:val="0"/>
          <w:numId w:val="2"/>
        </w:numPr>
        <w:spacing w:after="70" w:line="268"/>
      </w:pPr>
      <w:r>
        <w:rPr>
          <w:rFonts w:ascii="Calibri" w:cs="Calibri" w:eastAsia="Calibri" w:hAnsi="Calibri"/>
          <w:b/>
          <w:bCs/>
          <w:color w:val="0B2C4D"/>
          <w:sz w:val="21"/>
          <w:szCs w:val="21"/>
        </w:rPr>
        <w:t xml:space="preserve">SLOs with error budgets</w:t>
      </w:r>
      <w:r>
        <w:rPr>
          <w:rFonts w:ascii="Calibri" w:cs="Calibri" w:eastAsia="Calibri" w:hAnsi="Calibri"/>
          <w:color w:val="1F2A33"/>
          <w:sz w:val="21"/>
          <w:szCs w:val="21"/>
        </w:rPr>
        <w:t xml:space="preserve">: catalog availability, request-to-provision latency, agent answer success rate and demo console availability. Budget exhaustion freezes feature work until reliability work restores it — the freeze is the point.</w:t>
      </w:r>
    </w:p>
    <w:p>
      <w:pPr>
        <w:pStyle w:val="ListParagraph"/>
        <w:numPr>
          <w:ilvl w:val="0"/>
          <w:numId w:val="2"/>
        </w:numPr>
        <w:spacing w:after="70" w:line="268"/>
      </w:pPr>
      <w:r>
        <w:rPr>
          <w:rFonts w:ascii="Calibri" w:cs="Calibri" w:eastAsia="Calibri" w:hAnsi="Calibri"/>
          <w:b/>
          <w:bCs/>
          <w:color w:val="0B2C4D"/>
          <w:sz w:val="21"/>
          <w:szCs w:val="21"/>
        </w:rPr>
        <w:t xml:space="preserve">Runbooks are shipped artifacts</w:t>
      </w:r>
      <w:r>
        <w:rPr>
          <w:rFonts w:ascii="Calibri" w:cs="Calibri" w:eastAsia="Calibri" w:hAnsi="Calibri"/>
          <w:color w:val="1F2A33"/>
          <w:sz w:val="21"/>
          <w:szCs w:val="21"/>
        </w:rPr>
        <w:t xml:space="preserve">, linked from every alert, and exercised in a quarterly game day covering an upstream contract breach, an agent regression and an entitlement-provisioning failure.</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34. Estate Bootstrap &amp; Onboarding</w:t>
      </w:r>
    </w:p>
    <w:p>
      <w:pPr>
        <w:spacing w:after="120" w:line="276"/>
        <w:jc w:val="left"/>
      </w:pPr>
      <w:r>
        <w:rPr>
          <w:rFonts w:ascii="Calibri" w:cs="Calibri" w:eastAsia="Calibri" w:hAnsi="Calibri"/>
          <w:b w:val="false"/>
          <w:bCs w:val="false"/>
          <w:i w:val="false"/>
          <w:iCs w:val="false"/>
          <w:color w:val="1F2A33"/>
          <w:sz w:val="21"/>
          <w:szCs w:val="21"/>
        </w:rPr>
        <w:t xml:space="preserve">The hardest week of a marketplace is the first one, when the shelf is empty. An empty marketplace teaches consumers not to return, and consumer attention does not come back cheaply. Bootstrap is therefore a designed capability, not an implementation detail.</w:t>
      </w:r>
    </w:p>
    <w:p>
      <w:pPr>
        <w:pStyle w:val="Heading2"/>
        <w:spacing w:after="120" w:before="280"/>
      </w:pPr>
      <w:r>
        <w:rPr>
          <w:rFonts w:ascii="Calibri" w:cs="Calibri" w:eastAsia="Calibri" w:hAnsi="Calibri"/>
          <w:b/>
          <w:bCs/>
          <w:color w:val="117A8B"/>
          <w:sz w:val="25"/>
          <w:szCs w:val="25"/>
        </w:rPr>
        <w:t xml:space="preserve">34.1 Ninety-Day Path</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310"/>
        <w:gridCol w:w="5544"/>
        <w:gridCol w:w="3226"/>
      </w:tblGrid>
      <w:tr>
        <w:trPr>
          <w:tblHeader/>
        </w:trPr>
        <w:tc>
          <w:tcPr>
            <w:tcW w:type="dxa" w:w="131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Window</w:t>
            </w:r>
          </w:p>
        </w:tc>
        <w:tc>
          <w:tcPr>
            <w:tcW w:type="dxa" w:w="554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Activity</w:t>
            </w:r>
          </w:p>
        </w:tc>
        <w:tc>
          <w:tcPr>
            <w:tcW w:type="dxa" w:w="322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Outcome</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Days 1–15</w:t>
            </w:r>
          </w:p>
        </w:tc>
        <w:tc>
          <w:tcPr>
            <w:tcW w:type="dxa" w:w="554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Connect platform and catalog connectors read-only. Harvest metadata, lineage, usage, cost and existing quality results. Where an AI-readiness assessment exists, import its findings as the starting evidence set rather than re-harvesting.</w:t>
            </w:r>
          </w:p>
        </w:tc>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Estate inventory with usage ranking; the top 200 assets by query volume identified</w:t>
            </w:r>
          </w:p>
        </w:tc>
      </w:tr>
      <w:tr>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Days 16–30</w:t>
            </w:r>
          </w:p>
        </w:tc>
        <w:tc>
          <w:tcPr>
            <w:tcW w:type="dxa" w:w="554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Candidate product detection: cluster heavily-queried tables and views by shared consumers, shared lineage and query co-occurrence into candidate products. Reconcile BI measures into a draft KPI register with conflicts surfaced.</w:t>
            </w:r>
          </w:p>
        </w:tc>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ranked candidate list with duplicate KPI definitions named and counted — usually the first genuinely uncomfortable artifact the programme produces</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Days 31–60</w:t>
            </w:r>
          </w:p>
        </w:tc>
        <w:tc>
          <w:tcPr>
            <w:tcW w:type="dxa" w:w="554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Auto-draft manifests for the top candidates: proposed name, purpose, grain, columns with inherited classification, draft contract from observed behaviour, and observed adoption. Every inferred field carries confidence and rationale; stewards complete and approve.</w:t>
            </w:r>
          </w:p>
        </w:tc>
        <w:tc>
          <w:tcPr>
            <w:tcW w:type="dxa" w:w="322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Ten to fifteen products published with real contracts, real owners and real quality scores</w:t>
            </w:r>
          </w:p>
        </w:tc>
      </w:tr>
      <w:tr>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Days 61–90</w:t>
            </w:r>
          </w:p>
        </w:tc>
        <w:tc>
          <w:tcPr>
            <w:tcW w:type="dxa" w:w="554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Publish the first three agents over the strongest products, each with its coverage map, scope and five curated exchanges. Open access request rails. Open the demand board.</w:t>
            </w:r>
          </w:p>
        </w:tc>
        <w:tc>
          <w:tcPr>
            <w:tcW w:type="dxa" w:w="322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live marketplace with supply, demonstrable agents, governed access and a demand signal</w:t>
            </w:r>
          </w:p>
        </w:tc>
      </w:tr>
    </w:tbl>
    <w:p>
      <w:pPr>
        <w:pStyle w:val="Heading2"/>
        <w:spacing w:after="120" w:before="280"/>
      </w:pPr>
      <w:r>
        <w:rPr>
          <w:rFonts w:ascii="Calibri" w:cs="Calibri" w:eastAsia="Calibri" w:hAnsi="Calibri"/>
          <w:b/>
          <w:bCs/>
          <w:color w:val="117A8B"/>
          <w:sz w:val="25"/>
          <w:szCs w:val="25"/>
        </w:rPr>
        <w:t xml:space="preserve">34.2 Bootstrap Rules</w:t>
      </w:r>
    </w:p>
    <w:p>
      <w:pPr>
        <w:pStyle w:val="ListParagraph"/>
        <w:numPr>
          <w:ilvl w:val="0"/>
          <w:numId w:val="2"/>
        </w:numPr>
        <w:spacing w:after="70" w:line="268"/>
      </w:pPr>
      <w:r>
        <w:rPr>
          <w:rFonts w:ascii="Calibri" w:cs="Calibri" w:eastAsia="Calibri" w:hAnsi="Calibri"/>
          <w:b/>
          <w:bCs/>
          <w:color w:val="0B2C4D"/>
          <w:sz w:val="21"/>
          <w:szCs w:val="21"/>
        </w:rPr>
        <w:t xml:space="preserve">Drafts are never auto-published.</w:t>
      </w:r>
      <w:r>
        <w:rPr>
          <w:rFonts w:ascii="Calibri" w:cs="Calibri" w:eastAsia="Calibri" w:hAnsi="Calibri"/>
          <w:color w:val="1F2A33"/>
          <w:sz w:val="21"/>
          <w:szCs w:val="21"/>
        </w:rPr>
        <w:t xml:space="preserve"> Inference accelerates authoring; a human owner approves before anything reaches the shelf. A catalog full of machine-generated descriptions nobody has read is the failure mode this rule exists to prevent.</w:t>
      </w:r>
    </w:p>
    <w:p>
      <w:pPr>
        <w:pStyle w:val="ListParagraph"/>
        <w:numPr>
          <w:ilvl w:val="0"/>
          <w:numId w:val="2"/>
        </w:numPr>
        <w:spacing w:after="70" w:line="268"/>
      </w:pPr>
      <w:r>
        <w:rPr>
          <w:rFonts w:ascii="Calibri" w:cs="Calibri" w:eastAsia="Calibri" w:hAnsi="Calibri"/>
          <w:b/>
          <w:bCs/>
          <w:color w:val="0B2C4D"/>
          <w:sz w:val="21"/>
          <w:szCs w:val="21"/>
        </w:rPr>
        <w:t xml:space="preserve">Observed behaviour seeds the contract.</w:t>
      </w:r>
      <w:r>
        <w:rPr>
          <w:rFonts w:ascii="Calibri" w:cs="Calibri" w:eastAsia="Calibri" w:hAnsi="Calibri"/>
          <w:color w:val="1F2A33"/>
          <w:sz w:val="21"/>
          <w:szCs w:val="21"/>
        </w:rPr>
        <w:t xml:space="preserve"> Freshness targets and volume bands are proposed from measured history, so the first contract describes reality and the owner argues upward from evidence rather than inventing a number.</w:t>
      </w:r>
    </w:p>
    <w:p>
      <w:pPr>
        <w:pStyle w:val="ListParagraph"/>
        <w:numPr>
          <w:ilvl w:val="0"/>
          <w:numId w:val="2"/>
        </w:numPr>
        <w:spacing w:after="70" w:line="268"/>
      </w:pPr>
      <w:r>
        <w:rPr>
          <w:rFonts w:ascii="Calibri" w:cs="Calibri" w:eastAsia="Calibri" w:hAnsi="Calibri"/>
          <w:b/>
          <w:bCs/>
          <w:color w:val="0B2C4D"/>
          <w:sz w:val="21"/>
          <w:szCs w:val="21"/>
        </w:rPr>
        <w:t xml:space="preserve">Adoption history is imported, not reset.</w:t>
      </w:r>
      <w:r>
        <w:rPr>
          <w:rFonts w:ascii="Calibri" w:cs="Calibri" w:eastAsia="Calibri" w:hAnsi="Calibri"/>
          <w:color w:val="1F2A33"/>
          <w:sz w:val="21"/>
          <w:szCs w:val="21"/>
        </w:rPr>
        <w:t xml:space="preserve"> A product that has had 300 consumers for two years launches showing that, because a launch that displays zero adoption for an established asset destroys credibility on day one.</w:t>
      </w:r>
    </w:p>
    <w:p>
      <w:pPr>
        <w:pStyle w:val="ListParagraph"/>
        <w:numPr>
          <w:ilvl w:val="0"/>
          <w:numId w:val="2"/>
        </w:numPr>
        <w:spacing w:after="70" w:line="268"/>
      </w:pPr>
      <w:r>
        <w:rPr>
          <w:rFonts w:ascii="Calibri" w:cs="Calibri" w:eastAsia="Calibri" w:hAnsi="Calibri"/>
          <w:b/>
          <w:bCs/>
          <w:color w:val="0B2C4D"/>
          <w:sz w:val="21"/>
          <w:szCs w:val="21"/>
        </w:rPr>
        <w:t xml:space="preserve">Sequence supply before demand.</w:t>
      </w:r>
      <w:r>
        <w:rPr>
          <w:rFonts w:ascii="Calibri" w:cs="Calibri" w:eastAsia="Calibri" w:hAnsi="Calibri"/>
          <w:color w:val="1F2A33"/>
          <w:sz w:val="21"/>
          <w:szCs w:val="21"/>
        </w:rPr>
        <w:t xml:space="preserve"> The demand board opens only once there is enough supply for duplicate detection to be meaningful; otherwise the first hundred requests all read as novel and the highest-value control never fires.</w:t>
      </w:r>
    </w:p>
    <w:p>
      <w:pPr>
        <w:pStyle w:val="ListParagraph"/>
        <w:numPr>
          <w:ilvl w:val="0"/>
          <w:numId w:val="2"/>
        </w:numPr>
        <w:spacing w:after="70" w:line="268"/>
      </w:pPr>
      <w:r>
        <w:rPr>
          <w:rFonts w:ascii="Calibri" w:cs="Calibri" w:eastAsia="Calibri" w:hAnsi="Calibri"/>
          <w:b/>
          <w:bCs/>
          <w:color w:val="0B2C4D"/>
          <w:sz w:val="21"/>
          <w:szCs w:val="21"/>
        </w:rPr>
        <w:t xml:space="preserve">Define the first agent by an existing painful question</w:t>
      </w:r>
      <w:r>
        <w:rPr>
          <w:rFonts w:ascii="Calibri" w:cs="Calibri" w:eastAsia="Calibri" w:hAnsi="Calibri"/>
          <w:color w:val="1F2A33"/>
          <w:sz w:val="21"/>
          <w:szCs w:val="21"/>
        </w:rPr>
        <w:t xml:space="preserve">, identified from the query log and from what analysts are asked most often — not by what is technically easiest to build.</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35. Product Analytics &amp; Success Metrics</w:t>
      </w:r>
    </w:p>
    <w:p>
      <w:pPr>
        <w:pStyle w:val="Heading2"/>
        <w:spacing w:after="120" w:before="280"/>
      </w:pPr>
      <w:r>
        <w:rPr>
          <w:rFonts w:ascii="Calibri" w:cs="Calibri" w:eastAsia="Calibri" w:hAnsi="Calibri"/>
          <w:b/>
          <w:bCs/>
          <w:color w:val="117A8B"/>
          <w:sz w:val="25"/>
          <w:szCs w:val="25"/>
        </w:rPr>
        <w:t xml:space="preserve">35.1 Metric Tree</w:t>
      </w:r>
    </w:p>
    <w:p>
      <w:pPr>
        <w:spacing w:after="120" w:line="276"/>
        <w:jc w:val="left"/>
      </w:pPr>
      <w:r>
        <w:rPr>
          <w:rFonts w:ascii="Calibri" w:cs="Calibri" w:eastAsia="Calibri" w:hAnsi="Calibri"/>
          <w:b w:val="false"/>
          <w:bCs w:val="false"/>
          <w:i w:val="false"/>
          <w:iCs w:val="false"/>
          <w:color w:val="1F2A33"/>
          <w:sz w:val="21"/>
          <w:szCs w:val="21"/>
        </w:rPr>
        <w:t xml:space="preserve">One north star, four input metrics, four guardrails. A metric that is neither an input nor a guardrail is a dashboard decoration and is not instrumented.</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310"/>
        <w:gridCol w:w="4435"/>
        <w:gridCol w:w="4335"/>
      </w:tblGrid>
      <w:tr>
        <w:trPr>
          <w:tblHeader/>
        </w:trPr>
        <w:tc>
          <w:tcPr>
            <w:tcW w:type="dxa" w:w="131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Level</w:t>
            </w:r>
          </w:p>
        </w:tc>
        <w:tc>
          <w:tcPr>
            <w:tcW w:type="dxa" w:w="443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Metric</w:t>
            </w:r>
          </w:p>
        </w:tc>
        <w:tc>
          <w:tcPr>
            <w:tcW w:type="dxa" w:w="433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Why this one</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North star</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Governed answers per week — questions answered from a certified data product, by an agent or by a consumer, under an approved entitlement</w:t>
            </w:r>
          </w:p>
        </w:tc>
        <w:tc>
          <w:tcPr>
            <w:tcW w:type="dxa" w:w="43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It moves only when discovery, trust, access and capability all work; no single team can fake it</w:t>
            </w:r>
          </w:p>
        </w:tc>
      </w:tr>
      <w:tr>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Input 1</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Time from discovery to first successful query</w:t>
            </w:r>
          </w:p>
        </w:tc>
        <w:tc>
          <w:tcPr>
            <w:tcW w:type="dxa" w:w="43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friction metric. Directly attacked by policy evaluation and mechanical provisioning</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Input 2</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Share of questions answered by an agent rather than escalated to an analyst</w:t>
            </w:r>
          </w:p>
        </w:tc>
        <w:tc>
          <w:tcPr>
            <w:tcW w:type="dxa" w:w="43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deflection metric and the basis of the value case</w:t>
            </w:r>
          </w:p>
        </w:tc>
      </w:tr>
      <w:tr>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Input 3</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Certified supply coverage — share of the top 200 most-queried assets that are published products with contracts</w:t>
            </w:r>
          </w:p>
        </w:tc>
        <w:tc>
          <w:tcPr>
            <w:tcW w:type="dxa" w:w="43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supply metric; without it the other three plateau</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Input 4</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Duplicate-supply redirect rate at intake</w:t>
            </w:r>
          </w:p>
        </w:tc>
        <w:tc>
          <w:tcPr>
            <w:tcW w:type="dxa" w:w="43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cost-avoidance metric and the clearest evidence of marketplace value to a platform leader</w:t>
            </w:r>
          </w:p>
        </w:tc>
      </w:tr>
      <w:tr>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Guardrail 1</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Answer acceptance rate and groundedness</w:t>
            </w:r>
          </w:p>
        </w:tc>
        <w:tc>
          <w:tcPr>
            <w:tcW w:type="dxa" w:w="43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Deflection achieved by confident wrong answers is negative value</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Guardrail 2</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Permission-denied rate and dormant-grant share</w:t>
            </w:r>
          </w:p>
        </w:tc>
        <w:tc>
          <w:tcPr>
            <w:tcW w:type="dxa" w:w="43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Detects both over-restriction and over-provisioning</w:t>
            </w:r>
          </w:p>
        </w:tc>
      </w:tr>
      <w:tr>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Guardrail 3</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Cost per accepted answer</w:t>
            </w:r>
          </w:p>
        </w:tc>
        <w:tc>
          <w:tcPr>
            <w:tcW w:type="dxa" w:w="43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Prevents adoption growth from outrunning unit economics</w:t>
            </w:r>
          </w:p>
        </w:tc>
      </w:tr>
      <w:tr>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Guardrail 4</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Contract breach rate and quality composite trend</w:t>
            </w:r>
          </w:p>
        </w:tc>
        <w:tc>
          <w:tcPr>
            <w:tcW w:type="dxa" w:w="43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Prevents growth on a decaying foundation</w:t>
            </w:r>
          </w:p>
        </w:tc>
      </w:tr>
    </w:tbl>
    <w:p>
      <w:pPr>
        <w:pStyle w:val="Heading2"/>
        <w:spacing w:after="120" w:before="280"/>
      </w:pPr>
      <w:r>
        <w:rPr>
          <w:rFonts w:ascii="Calibri" w:cs="Calibri" w:eastAsia="Calibri" w:hAnsi="Calibri"/>
          <w:b/>
          <w:bCs/>
          <w:color w:val="117A8B"/>
          <w:sz w:val="25"/>
          <w:szCs w:val="25"/>
        </w:rPr>
        <w:t xml:space="preserve">35.2 Activation Funnel</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visit → search → view listing → run a demo exchange → request access → approved</w:t>
            </w:r>
          </w:p>
          <w:p>
            <w:pPr>
              <w:spacing w:after="0" w:line="240"/>
            </w:pPr>
            <w:r>
              <w:rPr>
                <w:rFonts w:ascii="Consolas" w:cs="Consolas" w:eastAsia="Consolas" w:hAnsi="Consolas"/>
                <w:color w:val="16323F"/>
                <w:sz w:val="16"/>
                <w:szCs w:val="16"/>
              </w:rPr>
              <w:t xml:space="preserve">      → first query → second query within 14 days → habitual (4+ weeks in 8)</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Instrumented at every step with drop-off attribution. Two conversions matter most:</w:t>
            </w:r>
          </w:p>
          <w:p>
            <w:pPr>
              <w:spacing w:after="0" w:line="240"/>
            </w:pPr>
            <w:r>
              <w:rPr>
                <w:rFonts w:ascii="Consolas" w:cs="Consolas" w:eastAsia="Consolas" w:hAnsi="Consolas"/>
                <w:color w:val="16323F"/>
                <w:sz w:val="16"/>
                <w:szCs w:val="16"/>
              </w:rPr>
              <w:t xml:space="preserve">  demo-exchange run  → access request      (does trying convert to committing?)</w:t>
            </w:r>
          </w:p>
          <w:p>
            <w:pPr>
              <w:spacing w:after="0" w:line="240"/>
            </w:pPr>
            <w:r>
              <w:rPr>
                <w:rFonts w:ascii="Consolas" w:cs="Consolas" w:eastAsia="Consolas" w:hAnsi="Consolas"/>
                <w:color w:val="16323F"/>
                <w:sz w:val="16"/>
                <w:szCs w:val="16"/>
              </w:rPr>
              <w:t xml:space="preserve">  first query        → second query        (did the asset actually serve the need?)</w:t>
            </w:r>
          </w:p>
          <w:p>
            <w:pPr>
              <w:spacing w:after="0" w:line="240"/>
            </w:pPr>
            <w:r>
              <w:rPr>
                <w:rFonts w:ascii="Consolas" w:cs="Consolas" w:eastAsia="Consolas" w:hAnsi="Consolas"/>
                <w:color w:val="16323F"/>
                <w:sz w:val="16"/>
                <w:szCs w:val="16"/>
              </w:rPr>
              <w:t xml:space="preserve"> </w:t>
            </w:r>
          </w:p>
          <w:p>
            <w:pPr>
              <w:spacing w:after="0" w:line="240"/>
            </w:pPr>
            <w:r>
              <w:rPr>
                <w:rFonts w:ascii="Consolas" w:cs="Consolas" w:eastAsia="Consolas" w:hAnsi="Consolas"/>
                <w:color w:val="16323F"/>
                <w:sz w:val="16"/>
                <w:szCs w:val="16"/>
              </w:rPr>
              <w:t xml:space="preserve">A listing whose demo-to-request conversion sits far below peer listings is a content</w:t>
            </w:r>
          </w:p>
          <w:p>
            <w:pPr>
              <w:spacing w:after="0" w:line="240"/>
            </w:pPr>
            <w:r>
              <w:rPr>
                <w:rFonts w:ascii="Consolas" w:cs="Consolas" w:eastAsia="Consolas" w:hAnsi="Consolas"/>
                <w:color w:val="16323F"/>
                <w:sz w:val="16"/>
                <w:szCs w:val="16"/>
              </w:rPr>
              <w:t xml:space="preserve">defect — usually a weak capability statement or an unconvincing curated question set —</w:t>
            </w:r>
          </w:p>
          <w:p>
            <w:pPr>
              <w:spacing w:after="0" w:line="240"/>
            </w:pPr>
            <w:r>
              <w:rPr>
                <w:rFonts w:ascii="Consolas" w:cs="Consolas" w:eastAsia="Consolas" w:hAnsi="Consolas"/>
                <w:color w:val="16323F"/>
                <w:sz w:val="16"/>
                <w:szCs w:val="16"/>
              </w:rPr>
              <w:t xml:space="preserve">and is routed to the owner as a specific, actionable finding rather than a generic report.</w:t>
            </w:r>
          </w:p>
        </w:tc>
      </w:tr>
    </w:tbl>
    <w:p>
      <w:pPr>
        <w:pStyle w:val="Heading2"/>
        <w:spacing w:after="120" w:before="280"/>
      </w:pPr>
      <w:r>
        <w:rPr>
          <w:rFonts w:ascii="Calibri" w:cs="Calibri" w:eastAsia="Calibri" w:hAnsi="Calibri"/>
          <w:b/>
          <w:bCs/>
          <w:color w:val="117A8B"/>
          <w:sz w:val="25"/>
          <w:szCs w:val="25"/>
        </w:rPr>
        <w:t xml:space="preserve">35.3 Instrumentation Rules</w:t>
      </w:r>
    </w:p>
    <w:p>
      <w:pPr>
        <w:pStyle w:val="ListParagraph"/>
        <w:numPr>
          <w:ilvl w:val="0"/>
          <w:numId w:val="2"/>
        </w:numPr>
        <w:spacing w:after="70" w:line="268"/>
      </w:pPr>
      <w:r>
        <w:rPr>
          <w:rFonts w:ascii="Calibri" w:cs="Calibri" w:eastAsia="Calibri" w:hAnsi="Calibri"/>
          <w:color w:val="1F2A33"/>
          <w:sz w:val="21"/>
          <w:szCs w:val="21"/>
        </w:rPr>
        <w:t xml:space="preserve">A single typed event taxonomy shared by portal, API and agent runtime, versioned like any other schema. Ad-hoc event names are rejected in code review.</w:t>
      </w:r>
    </w:p>
    <w:p>
      <w:pPr>
        <w:pStyle w:val="ListParagraph"/>
        <w:numPr>
          <w:ilvl w:val="0"/>
          <w:numId w:val="2"/>
        </w:numPr>
        <w:spacing w:after="70" w:line="268"/>
      </w:pPr>
      <w:r>
        <w:rPr>
          <w:rFonts w:ascii="Calibri" w:cs="Calibri" w:eastAsia="Calibri" w:hAnsi="Calibri"/>
          <w:color w:val="1F2A33"/>
          <w:sz w:val="21"/>
          <w:szCs w:val="21"/>
        </w:rPr>
        <w:t xml:space="preserve">Every event carries actor, actor type (human or agent), asset, surface, purpose where applicable, and tenant. Purpose on the event is what makes access audit and adoption analysis the same dataset.</w:t>
      </w:r>
    </w:p>
    <w:p>
      <w:pPr>
        <w:pStyle w:val="ListParagraph"/>
        <w:numPr>
          <w:ilvl w:val="0"/>
          <w:numId w:val="2"/>
        </w:numPr>
        <w:spacing w:after="70" w:line="268"/>
      </w:pPr>
      <w:r>
        <w:rPr>
          <w:rFonts w:ascii="Calibri" w:cs="Calibri" w:eastAsia="Calibri" w:hAnsi="Calibri"/>
          <w:color w:val="1F2A33"/>
          <w:sz w:val="21"/>
          <w:szCs w:val="21"/>
        </w:rPr>
        <w:t xml:space="preserve">Analytics events are never the source of truth for entitlement or audit; the audit log is. Analytics may be sampled, audit may not.</w:t>
      </w:r>
    </w:p>
    <w:p>
      <w:pPr>
        <w:pStyle w:val="ListParagraph"/>
        <w:numPr>
          <w:ilvl w:val="0"/>
          <w:numId w:val="2"/>
        </w:numPr>
        <w:spacing w:after="70" w:line="268"/>
      </w:pPr>
      <w:r>
        <w:rPr>
          <w:rFonts w:ascii="Calibri" w:cs="Calibri" w:eastAsia="Calibri" w:hAnsi="Calibri"/>
          <w:color w:val="1F2A33"/>
          <w:sz w:val="21"/>
          <w:szCs w:val="21"/>
        </w:rPr>
        <w:t xml:space="preserve">No third-party analytics beacon receives asset names, KPI names, query text or question text. Product analytics runs first-party against the tenant’s own store.</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36. Commercial Model &amp; Packaging</w:t>
      </w:r>
    </w:p>
    <w:p>
      <w:pPr>
        <w:spacing w:after="120" w:line="276"/>
        <w:jc w:val="left"/>
      </w:pPr>
      <w:r>
        <w:rPr>
          <w:rFonts w:ascii="Calibri" w:cs="Calibri" w:eastAsia="Calibri" w:hAnsi="Calibri"/>
          <w:b w:val="false"/>
          <w:bCs w:val="false"/>
          <w:i w:val="false"/>
          <w:iCs w:val="false"/>
          <w:color w:val="1F2A33"/>
          <w:sz w:val="21"/>
          <w:szCs w:val="21"/>
        </w:rPr>
        <w:t xml:space="preserve">Included because packaging decisions constrain architecture. Multi-tenancy, metering and the deployment topology all have to be right before the first customer, and they are expensive to retrofit.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411"/>
        <w:gridCol w:w="3125"/>
        <w:gridCol w:w="2117"/>
        <w:gridCol w:w="1613"/>
        <w:gridCol w:w="1814"/>
      </w:tblGrid>
      <w:tr>
        <w:trPr>
          <w:tblHeader/>
        </w:trPr>
        <w:tc>
          <w:tcPr>
            <w:tcW w:type="dxa" w:w="141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Edition</w:t>
            </w:r>
          </w:p>
        </w:tc>
        <w:tc>
          <w:tcPr>
            <w:tcW w:type="dxa" w:w="312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Contents</w:t>
            </w:r>
          </w:p>
        </w:tc>
        <w:tc>
          <w:tcPr>
            <w:tcW w:type="dxa" w:w="2117"/>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Deployment</w:t>
            </w:r>
          </w:p>
        </w:tc>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Buyer</w:t>
            </w:r>
          </w:p>
        </w:tc>
        <w:tc>
          <w:tcPr>
            <w:tcW w:type="dxa" w:w="181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Pricing shape</w:t>
            </w:r>
          </w:p>
        </w:tc>
      </w:tr>
      <w:tr>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Platform</w:t>
            </w:r>
          </w:p>
        </w:tc>
        <w:tc>
          <w:tcPr>
            <w:tcW w:type="dxa" w:w="312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Full catalog, meshes, workflows, observability, value module, academy, connectors</w:t>
            </w:r>
          </w:p>
        </w:tc>
        <w:tc>
          <w:tcPr>
            <w:tcW w:type="dxa" w:w="211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Customer cloud or platform-native (Snowpark Container Services and equivalents)</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Data platform leadership, enterprise architecture</w:t>
            </w:r>
          </w:p>
        </w:tc>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Platform fee plus tiering on published assets and connected platforms</w:t>
            </w:r>
          </w:p>
        </w:tc>
      </w:tr>
      <w:tr>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Agent tier</w:t>
            </w:r>
          </w:p>
        </w:tc>
        <w:tc>
          <w:tcPr>
            <w:tcW w:type="dxa" w:w="312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Agent registry, demo console, AgentOps evaluation and release governance, agent mesh</w:t>
            </w:r>
          </w:p>
        </w:tc>
        <w:tc>
          <w:tcPr>
            <w:tcW w:type="dxa" w:w="211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Add-on to Platform</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CDAO and AI programme leadership</w:t>
            </w:r>
          </w:p>
        </w:tc>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Per live agent plus metered answers, with demo tier excluded from metering</w:t>
            </w:r>
          </w:p>
        </w:tc>
      </w:tr>
      <w:tr>
        <w:tc>
          <w:tcPr>
            <w:tcW w:type="dxa" w:w="141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Assessment and onboarding</w:t>
            </w:r>
          </w:p>
        </w:tc>
        <w:tc>
          <w:tcPr>
            <w:tcW w:type="dxa" w:w="312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Estate bootstrap, candidate product detection, KPI reconciliation, first-wave authoring with the customer</w:t>
            </w:r>
          </w:p>
        </w:tc>
        <w:tc>
          <w:tcPr>
            <w:tcW w:type="dxa" w:w="2117"/>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Services engagement using the platform</w:t>
            </w:r>
          </w:p>
        </w:tc>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Transformation lead, CDO</w:t>
            </w:r>
          </w:p>
        </w:tc>
        <w:tc>
          <w:tcPr>
            <w:tcW w:type="dxa" w:w="181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Fixed fee by estate size; credited against the first Platform year</w:t>
            </w:r>
          </w:p>
        </w:tc>
      </w:tr>
      <w:tr>
        <w:tc>
          <w:tcPr>
            <w:tcW w:type="dxa" w:w="141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Partner edition</w:t>
            </w:r>
          </w:p>
        </w:tc>
        <w:tc>
          <w:tcPr>
            <w:tcW w:type="dxa" w:w="312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White-labelled deployment with tenant-configured branding and weighting profiles</w:t>
            </w:r>
          </w:p>
        </w:tc>
        <w:tc>
          <w:tcPr>
            <w:tcW w:type="dxa" w:w="2117"/>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Partner-hosted or customer-hosted</w:t>
            </w:r>
          </w:p>
        </w:tc>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Systems integrators and advisory firms</w:t>
            </w:r>
          </w:p>
        </w:tc>
        <w:tc>
          <w:tcPr>
            <w:tcW w:type="dxa" w:w="181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Partner licence plus per-end-customer tier</w:t>
            </w:r>
          </w:p>
        </w:tc>
      </w:tr>
    </w:tbl>
    <w:p>
      <w:pPr>
        <w:pStyle w:val="ListParagraph"/>
        <w:numPr>
          <w:ilvl w:val="0"/>
          <w:numId w:val="2"/>
        </w:numPr>
        <w:spacing w:after="70" w:line="268"/>
      </w:pPr>
      <w:r>
        <w:rPr>
          <w:rFonts w:ascii="Calibri" w:cs="Calibri" w:eastAsia="Calibri" w:hAnsi="Calibri"/>
          <w:b/>
          <w:bCs/>
          <w:color w:val="0B2C4D"/>
          <w:sz w:val="21"/>
          <w:szCs w:val="21"/>
        </w:rPr>
        <w:t xml:space="preserve">Metering must be defensible.</w:t>
      </w:r>
      <w:r>
        <w:rPr>
          <w:rFonts w:ascii="Calibri" w:cs="Calibri" w:eastAsia="Calibri" w:hAnsi="Calibri"/>
          <w:color w:val="1F2A33"/>
          <w:sz w:val="21"/>
          <w:szCs w:val="21"/>
        </w:rPr>
        <w:t xml:space="preserve"> Answers, published assets and connected platforms are countable, auditable and visible to the customer in the same place the platform counts them. A meter the customer cannot verify becomes a renewal argument.</w:t>
      </w:r>
    </w:p>
    <w:p>
      <w:pPr>
        <w:pStyle w:val="ListParagraph"/>
        <w:numPr>
          <w:ilvl w:val="0"/>
          <w:numId w:val="2"/>
        </w:numPr>
        <w:spacing w:after="70" w:line="268"/>
      </w:pPr>
      <w:r>
        <w:rPr>
          <w:rFonts w:ascii="Calibri" w:cs="Calibri" w:eastAsia="Calibri" w:hAnsi="Calibri"/>
          <w:b/>
          <w:bCs/>
          <w:color w:val="0B2C4D"/>
          <w:sz w:val="21"/>
          <w:szCs w:val="21"/>
        </w:rPr>
        <w:t xml:space="preserve">Do not meter what you want to encourage.</w:t>
      </w:r>
      <w:r>
        <w:rPr>
          <w:rFonts w:ascii="Calibri" w:cs="Calibri" w:eastAsia="Calibri" w:hAnsi="Calibri"/>
          <w:color w:val="1F2A33"/>
          <w:sz w:val="21"/>
          <w:szCs w:val="21"/>
        </w:rPr>
        <w:t xml:space="preserve"> Demo-tier answers, academy sandbox usage and demand-board submissions are never metered, because each is a growth loop.</w:t>
      </w:r>
    </w:p>
    <w:p>
      <w:pPr>
        <w:pStyle w:val="ListParagraph"/>
        <w:numPr>
          <w:ilvl w:val="0"/>
          <w:numId w:val="2"/>
        </w:numPr>
        <w:spacing w:after="70" w:line="268"/>
      </w:pPr>
      <w:r>
        <w:rPr>
          <w:rFonts w:ascii="Calibri" w:cs="Calibri" w:eastAsia="Calibri" w:hAnsi="Calibri"/>
          <w:b/>
          <w:bCs/>
          <w:color w:val="0B2C4D"/>
          <w:sz w:val="21"/>
          <w:szCs w:val="21"/>
        </w:rPr>
        <w:t xml:space="preserve">Land on supply, expand on agents.</w:t>
      </w:r>
      <w:r>
        <w:rPr>
          <w:rFonts w:ascii="Calibri" w:cs="Calibri" w:eastAsia="Calibri" w:hAnsi="Calibri"/>
          <w:color w:val="1F2A33"/>
          <w:sz w:val="21"/>
          <w:szCs w:val="21"/>
        </w:rPr>
        <w:t xml:space="preserve"> The catalog is the entry point because it is the safer purchase; agents are the expansion because they carry the visible deflection value. The architecture supports either order, but the go-to-market assumes this one.</w:t>
      </w:r>
    </w:p>
    <w:p>
      <w:pPr>
        <w:pStyle w:val="ListParagraph"/>
        <w:numPr>
          <w:ilvl w:val="0"/>
          <w:numId w:val="2"/>
        </w:numPr>
        <w:spacing w:after="70" w:line="268"/>
      </w:pPr>
      <w:r>
        <w:rPr>
          <w:rFonts w:ascii="Calibri" w:cs="Calibri" w:eastAsia="Calibri" w:hAnsi="Calibri"/>
          <w:b/>
          <w:bCs/>
          <w:color w:val="0B2C4D"/>
          <w:sz w:val="21"/>
          <w:szCs w:val="21"/>
        </w:rPr>
        <w:t xml:space="preserve">Branding is configuration.</w:t>
      </w:r>
      <w:r>
        <w:rPr>
          <w:rFonts w:ascii="Calibri" w:cs="Calibri" w:eastAsia="Calibri" w:hAnsi="Calibri"/>
          <w:color w:val="1F2A33"/>
          <w:sz w:val="21"/>
          <w:szCs w:val="21"/>
        </w:rPr>
        <w:t xml:space="preserve"> The partner edition requires no fork: product name, wordmark, palette and rubric weighting profiles are tenant configuration, enforced by the token architecture in Section 32.</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37. Build Plan for Coding Agents</w:t>
      </w:r>
    </w:p>
    <w:p>
      <w:pPr>
        <w:spacing w:after="120" w:line="276"/>
        <w:jc w:val="left"/>
      </w:pPr>
      <w:r>
        <w:rPr>
          <w:rFonts w:ascii="Calibri" w:cs="Calibri" w:eastAsia="Calibri" w:hAnsi="Calibri"/>
          <w:b w:val="false"/>
          <w:bCs w:val="false"/>
          <w:i w:val="false"/>
          <w:iCs w:val="false"/>
          <w:color w:val="1F2A33"/>
          <w:sz w:val="21"/>
          <w:szCs w:val="21"/>
        </w:rPr>
        <w:t xml:space="preserve">The implementation is specification-first. The coding agent (Claude Code, Codex or equivalent) is driven by the build markdown and the manifests and the manifests in this document; generated platform artifacts are renderings of a tool-neutral source of truth and are header-stamped as auto-generated. Nobody edits a generated file.</w:t>
      </w:r>
    </w:p>
    <w:p>
      <w:pPr>
        <w:pStyle w:val="Heading2"/>
        <w:spacing w:after="120" w:before="280"/>
      </w:pPr>
      <w:r>
        <w:rPr>
          <w:rFonts w:ascii="Calibri" w:cs="Calibri" w:eastAsia="Calibri" w:hAnsi="Calibri"/>
          <w:b/>
          <w:bCs/>
          <w:color w:val="117A8B"/>
          <w:sz w:val="25"/>
          <w:szCs w:val="25"/>
        </w:rPr>
        <w:t xml:space="preserve">37.1 Repository Layout</w:t>
      </w:r>
    </w:p>
    <w:tbl>
      <w:tblPr>
        <w:tblW w:type="dxa" w:w="10080"/>
        <w:tblBorders>
          <w:top w:val="single" w:color="C6D5DC" w:sz="4"/>
          <w:left w:val="single" w:color="C6D5DC" w:sz="4"/>
          <w:bottom w:val="single" w:color="C6D5DC" w:sz="4"/>
          <w:right w:val="single" w:color="C6D5DC" w:sz="4"/>
          <w:insideH w:val="none" w:color="FFFFFF" w:sz="0"/>
          <w:insideV w:val="none" w:color="FFFFFF" w:sz="0"/>
        </w:tblBorders>
      </w:tblPr>
      <w:tblGrid>
        <w:gridCol w:w="10080"/>
      </w:tblGrid>
      <w:tr>
        <w:trPr>
          <w:cantSplit/>
        </w:trPr>
        <w:tc>
          <w:tcPr>
            <w:tcW w:type="dxa" w:w="10080"/>
            <w:shd w:fill="F2F6F8" w:color="auto" w:val="clear"/>
            <w:tcMar>
              <w:top w:type="dxa" w:w="120"/>
              <w:left w:type="dxa" w:w="160"/>
              <w:bottom w:type="dxa" w:w="120"/>
              <w:right w:type="dxa" w:w="140"/>
            </w:tcMar>
          </w:tcPr>
          <w:p>
            <w:pPr>
              <w:spacing w:after="0" w:line="240"/>
            </w:pPr>
            <w:r>
              <w:rPr>
                <w:rFonts w:ascii="Consolas" w:cs="Consolas" w:eastAsia="Consolas" w:hAnsi="Consolas"/>
                <w:color w:val="16323F"/>
                <w:sz w:val="16"/>
                <w:szCs w:val="16"/>
              </w:rPr>
              <w:t xml:space="preserve">marketplace/</w:t>
            </w:r>
          </w:p>
          <w:p>
            <w:pPr>
              <w:spacing w:after="0" w:line="240"/>
            </w:pPr>
            <w:r>
              <w:rPr>
                <w:rFonts w:ascii="Consolas" w:cs="Consolas" w:eastAsia="Consolas" w:hAnsi="Consolas"/>
                <w:color w:val="16323F"/>
                <w:sz w:val="16"/>
                <w:szCs w:val="16"/>
              </w:rPr>
              <w:t xml:space="preserve">  manifests/</w:t>
            </w:r>
          </w:p>
          <w:p>
            <w:pPr>
              <w:spacing w:after="0" w:line="240"/>
            </w:pPr>
            <w:r>
              <w:rPr>
                <w:rFonts w:ascii="Consolas" w:cs="Consolas" w:eastAsia="Consolas" w:hAnsi="Consolas"/>
                <w:color w:val="16323F"/>
                <w:sz w:val="16"/>
                <w:szCs w:val="16"/>
              </w:rPr>
              <w:t xml:space="preserve">    products/      DP-*.yaml         # tool-neutral product + contract source of truth</w:t>
            </w:r>
          </w:p>
          <w:p>
            <w:pPr>
              <w:spacing w:after="0" w:line="240"/>
            </w:pPr>
            <w:r>
              <w:rPr>
                <w:rFonts w:ascii="Consolas" w:cs="Consolas" w:eastAsia="Consolas" w:hAnsi="Consolas"/>
                <w:color w:val="16323F"/>
                <w:sz w:val="16"/>
                <w:szCs w:val="16"/>
              </w:rPr>
              <w:t xml:space="preserve">    agents/        AG-*.yaml         # capability, coverage map, scope, demo exchanges</w:t>
            </w:r>
          </w:p>
          <w:p>
            <w:pPr>
              <w:spacing w:after="0" w:line="240"/>
            </w:pPr>
            <w:r>
              <w:rPr>
                <w:rFonts w:ascii="Consolas" w:cs="Consolas" w:eastAsia="Consolas" w:hAnsi="Consolas"/>
                <w:color w:val="16323F"/>
                <w:sz w:val="16"/>
                <w:szCs w:val="16"/>
              </w:rPr>
              <w:t xml:space="preserve">    kpis/          KPI-*.yaml        # one authoritative definition per KPI</w:t>
            </w:r>
          </w:p>
          <w:p>
            <w:pPr>
              <w:spacing w:after="0" w:line="240"/>
            </w:pPr>
            <w:r>
              <w:rPr>
                <w:rFonts w:ascii="Consolas" w:cs="Consolas" w:eastAsia="Consolas" w:hAnsi="Consolas"/>
                <w:color w:val="16323F"/>
                <w:sz w:val="16"/>
                <w:szCs w:val="16"/>
              </w:rPr>
              <w:t xml:space="preserve">    rubrics/       quality.yaml, ranking.yaml, mesh.yaml, demand.yaml, value.yaml</w:t>
            </w:r>
          </w:p>
          <w:p>
            <w:pPr>
              <w:spacing w:after="0" w:line="240"/>
            </w:pPr>
            <w:r>
              <w:rPr>
                <w:rFonts w:ascii="Consolas" w:cs="Consolas" w:eastAsia="Consolas" w:hAnsi="Consolas"/>
                <w:color w:val="16323F"/>
                <w:sz w:val="16"/>
                <w:szCs w:val="16"/>
              </w:rPr>
              <w:t xml:space="preserve">    taxonomies/    industry.yaml, domain.yaml, archetype.yaml, purpose.yaml</w:t>
            </w:r>
          </w:p>
          <w:p>
            <w:pPr>
              <w:spacing w:after="0" w:line="240"/>
            </w:pPr>
            <w:r>
              <w:rPr>
                <w:rFonts w:ascii="Consolas" w:cs="Consolas" w:eastAsia="Consolas" w:hAnsi="Consolas"/>
                <w:color w:val="16323F"/>
                <w:sz w:val="16"/>
                <w:szCs w:val="16"/>
              </w:rPr>
              <w:t xml:space="preserve">  generated/       (DO NOT EDIT — header-stamped)</w:t>
            </w:r>
          </w:p>
          <w:p>
            <w:pPr>
              <w:spacing w:after="0" w:line="240"/>
            </w:pPr>
            <w:r>
              <w:rPr>
                <w:rFonts w:ascii="Consolas" w:cs="Consolas" w:eastAsia="Consolas" w:hAnsi="Consolas"/>
                <w:color w:val="16323F"/>
                <w:sz w:val="16"/>
                <w:szCs w:val="16"/>
              </w:rPr>
              <w:t xml:space="preserve">    sql/           semantic views, governed views, DMF attachments</w:t>
            </w:r>
          </w:p>
          <w:p>
            <w:pPr>
              <w:spacing w:after="0" w:line="240"/>
            </w:pPr>
            <w:r>
              <w:rPr>
                <w:rFonts w:ascii="Consolas" w:cs="Consolas" w:eastAsia="Consolas" w:hAnsi="Consolas"/>
                <w:color w:val="16323F"/>
                <w:sz w:val="16"/>
                <w:szCs w:val="16"/>
              </w:rPr>
              <w:t xml:space="preserve">    mcp/           one server definition per product</w:t>
            </w:r>
          </w:p>
          <w:p>
            <w:pPr>
              <w:spacing w:after="0" w:line="240"/>
            </w:pPr>
            <w:r>
              <w:rPr>
                <w:rFonts w:ascii="Consolas" w:cs="Consolas" w:eastAsia="Consolas" w:hAnsi="Consolas"/>
                <w:color w:val="16323F"/>
                <w:sz w:val="16"/>
                <w:szCs w:val="16"/>
              </w:rPr>
              <w:t xml:space="preserve">    openapi/       api spec + generated SDKs</w:t>
            </w:r>
          </w:p>
          <w:p>
            <w:pPr>
              <w:spacing w:after="0" w:line="240"/>
            </w:pPr>
            <w:r>
              <w:rPr>
                <w:rFonts w:ascii="Consolas" w:cs="Consolas" w:eastAsia="Consolas" w:hAnsi="Consolas"/>
                <w:color w:val="16323F"/>
                <w:sz w:val="16"/>
                <w:szCs w:val="16"/>
              </w:rPr>
              <w:t xml:space="preserve">    ddl/           canonical model migrations</w:t>
            </w:r>
          </w:p>
          <w:p>
            <w:pPr>
              <w:spacing w:after="0" w:line="240"/>
            </w:pPr>
            <w:r>
              <w:rPr>
                <w:rFonts w:ascii="Consolas" w:cs="Consolas" w:eastAsia="Consolas" w:hAnsi="Consolas"/>
                <w:color w:val="16323F"/>
                <w:sz w:val="16"/>
                <w:szCs w:val="16"/>
              </w:rPr>
              <w:t xml:space="preserve">  services/        catalog, search, mesh, workflow, entitlement, quality,</w:t>
            </w:r>
          </w:p>
          <w:p>
            <w:pPr>
              <w:spacing w:after="0" w:line="240"/>
            </w:pPr>
            <w:r>
              <w:rPr>
                <w:rFonts w:ascii="Consolas" w:cs="Consolas" w:eastAsia="Consolas" w:hAnsi="Consolas"/>
                <w:color w:val="16323F"/>
                <w:sz w:val="16"/>
                <w:szCs w:val="16"/>
              </w:rPr>
              <w:t xml:space="preserve">                   observability, value, academy, agent-registry, demo-runner, intake</w:t>
            </w:r>
          </w:p>
          <w:p>
            <w:pPr>
              <w:spacing w:after="0" w:line="240"/>
            </w:pPr>
            <w:r>
              <w:rPr>
                <w:rFonts w:ascii="Consolas" w:cs="Consolas" w:eastAsia="Consolas" w:hAnsi="Consolas"/>
                <w:color w:val="16323F"/>
                <w:sz w:val="16"/>
                <w:szCs w:val="16"/>
              </w:rPr>
              <w:t xml:space="preserve">  portal/          Next.js app</w:t>
            </w:r>
          </w:p>
          <w:p>
            <w:pPr>
              <w:spacing w:after="0" w:line="240"/>
            </w:pPr>
            <w:r>
              <w:rPr>
                <w:rFonts w:ascii="Consolas" w:cs="Consolas" w:eastAsia="Consolas" w:hAnsi="Consolas"/>
                <w:color w:val="16323F"/>
                <w:sz w:val="16"/>
                <w:szCs w:val="16"/>
              </w:rPr>
              <w:t xml:space="preserve">  connectors/      one package per platform and per governance/DQ tool</w:t>
            </w:r>
          </w:p>
          <w:p>
            <w:pPr>
              <w:spacing w:after="0" w:line="240"/>
            </w:pPr>
            <w:r>
              <w:rPr>
                <w:rFonts w:ascii="Consolas" w:cs="Consolas" w:eastAsia="Consolas" w:hAnsi="Consolas"/>
                <w:color w:val="16323F"/>
                <w:sz w:val="16"/>
                <w:szCs w:val="16"/>
              </w:rPr>
              <w:t xml:space="preserve">  seed/            demo-tier synthetic data generators + golden answers</w:t>
            </w:r>
          </w:p>
          <w:p>
            <w:pPr>
              <w:spacing w:after="0" w:line="240"/>
            </w:pPr>
            <w:r>
              <w:rPr>
                <w:rFonts w:ascii="Consolas" w:cs="Consolas" w:eastAsia="Consolas" w:hAnsi="Consolas"/>
                <w:color w:val="16323F"/>
                <w:sz w:val="16"/>
                <w:szCs w:val="16"/>
              </w:rPr>
              <w:t xml:space="preserve">  tests/           golden fixtures, publish-gate tests, kill tests, a11y suite</w:t>
            </w:r>
          </w:p>
          <w:p>
            <w:pPr>
              <w:spacing w:after="0" w:line="240"/>
            </w:pPr>
            <w:r>
              <w:rPr>
                <w:rFonts w:ascii="Consolas" w:cs="Consolas" w:eastAsia="Consolas" w:hAnsi="Consolas"/>
                <w:color w:val="16323F"/>
                <w:sz w:val="16"/>
                <w:szCs w:val="16"/>
              </w:rPr>
              <w:t xml:space="preserve">  skills/          SKILL.md instruction files driving agent-based build steps</w:t>
            </w:r>
          </w:p>
        </w:tc>
      </w:tr>
    </w:tbl>
    <w:p>
      <w:pPr>
        <w:pStyle w:val="Heading2"/>
        <w:spacing w:after="120" w:before="280"/>
      </w:pPr>
      <w:r>
        <w:rPr>
          <w:rFonts w:ascii="Calibri" w:cs="Calibri" w:eastAsia="Calibri" w:hAnsi="Calibri"/>
          <w:b/>
          <w:bCs/>
          <w:color w:val="117A8B"/>
          <w:sz w:val="25"/>
          <w:szCs w:val="25"/>
        </w:rPr>
        <w:t xml:space="preserve">37.2 Build Sequence</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605"/>
        <w:gridCol w:w="4435"/>
        <w:gridCol w:w="5040"/>
      </w:tblGrid>
      <w:tr>
        <w:trPr>
          <w:tblHeader/>
        </w:trPr>
        <w:tc>
          <w:tcPr>
            <w:tcW w:type="dxa" w:w="60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Step</w:t>
            </w:r>
          </w:p>
        </w:tc>
        <w:tc>
          <w:tcPr>
            <w:tcW w:type="dxa" w:w="443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Deliverable</w:t>
            </w:r>
          </w:p>
        </w:tc>
        <w:tc>
          <w:tcPr>
            <w:tcW w:type="dxa" w:w="504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Done when</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Canonical model, migrations and rubric tables; manifest schema and validator</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malformed manifest fails validation with a precise error; no threshold exists outside a rubric table</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2</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Manifest-to-artifact generator: SQL views, MCP servers, OpenAPI, DDL</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Regenerating from manifests produces byte-identical output; every generated file carries the auto-generated header</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3</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Snowflake connector end to end (metadata, lineage, DMF quality, usage, cost)</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One real product harvested, scored and rendered; kill test proves the connector cannot write</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4</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Catalog service, hybrid search and ranking; data product catalog and detail pages</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eight product tabs render from real metadata; exact-name search never loses to a semantic neighbour</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5</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Quality engine and scoring snapshots</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Re-running a score against a pinned rubric version reproduces it exactly; snapshots are append-only</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6</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Agent registry, coverage map, MCP tool binding, publish gate</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 agent with four demo exchanges is rejected by the gate with a clear message</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7</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Demo runner and demo-tier synthetic data</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All seed agents answer their five questions against synthetic data inside the latency budget</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8</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Workflow engine: access, enhancement, demand; policy evaluation and provisioning</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 approved request provisions a scoped platform role and writes an immutable audit record</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9</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Mesh engine for both graphs, with confidence and rationale on every edge</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rendered edge has a rationale; edges below 0.80 confidence are held for review</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10</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Observability plane and incident lifecycle</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simulated freshness breach raises an incident, notifies consumers and banners the listing</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11</w:t>
            </w:r>
          </w:p>
        </w:tc>
        <w:tc>
          <w:tcPr>
            <w:tcW w:type="dxa" w:w="443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Value module and portfolio views; board-pack export</w:t>
            </w:r>
          </w:p>
        </w:tc>
        <w:tc>
          <w:tcPr>
            <w:tcW w:type="dxa" w:w="504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Exported deck and dashboard read from the same snapshot and cannot disagree</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12</w:t>
            </w:r>
          </w:p>
        </w:tc>
        <w:tc>
          <w:tcPr>
            <w:tcW w:type="dxa" w:w="443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Landing experience, academy, admin console; accessibility and performance passes</w:t>
            </w:r>
          </w:p>
        </w:tc>
        <w:tc>
          <w:tcPr>
            <w:tcW w:type="dxa" w:w="504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LCP and WCAG 2.2 AA budgets met with the full seed catalog loaded</w:t>
            </w:r>
          </w:p>
        </w:tc>
      </w:tr>
    </w:tbl>
    <w:p>
      <w:pPr>
        <w:pStyle w:val="Heading2"/>
        <w:spacing w:after="120" w:before="280"/>
      </w:pPr>
      <w:r>
        <w:rPr>
          <w:rFonts w:ascii="Calibri" w:cs="Calibri" w:eastAsia="Calibri" w:hAnsi="Calibri"/>
          <w:b/>
          <w:bCs/>
          <w:color w:val="117A8B"/>
          <w:sz w:val="25"/>
          <w:szCs w:val="25"/>
        </w:rPr>
        <w:t xml:space="preserve">37.3 Instruction Files to Author First</w:t>
      </w:r>
    </w:p>
    <w:p>
      <w:pPr>
        <w:pStyle w:val="ListParagraph"/>
        <w:numPr>
          <w:ilvl w:val="0"/>
          <w:numId w:val="2"/>
        </w:numPr>
        <w:spacing w:after="70" w:line="268"/>
      </w:pPr>
      <w:r>
        <w:rPr>
          <w:rFonts w:ascii="Calibri" w:cs="Calibri" w:eastAsia="Calibri" w:hAnsi="Calibri"/>
          <w:b/>
          <w:bCs/>
          <w:color w:val="0B2C4D"/>
          <w:sz w:val="21"/>
          <w:szCs w:val="21"/>
        </w:rPr>
        <w:t xml:space="preserve">product-manifest-authoring</w:t>
      </w:r>
      <w:r>
        <w:rPr>
          <w:rFonts w:ascii="Calibri" w:cs="Calibri" w:eastAsia="Calibri" w:hAnsi="Calibri"/>
          <w:color w:val="1F2A33"/>
          <w:sz w:val="21"/>
          <w:szCs w:val="21"/>
        </w:rPr>
        <w:t xml:space="preserve"> — how to write a DP manifest: contract guarantees, column classification, quality rules as data, endpoint declarations, value case.</w:t>
      </w:r>
    </w:p>
    <w:p>
      <w:pPr>
        <w:pStyle w:val="ListParagraph"/>
        <w:numPr>
          <w:ilvl w:val="0"/>
          <w:numId w:val="2"/>
        </w:numPr>
        <w:spacing w:after="70" w:line="268"/>
      </w:pPr>
      <w:r>
        <w:rPr>
          <w:rFonts w:ascii="Calibri" w:cs="Calibri" w:eastAsia="Calibri" w:hAnsi="Calibri"/>
          <w:b/>
          <w:bCs/>
          <w:color w:val="0B2C4D"/>
          <w:sz w:val="21"/>
          <w:szCs w:val="21"/>
        </w:rPr>
        <w:t xml:space="preserve">agent-manifest-authoring</w:t>
      </w:r>
      <w:r>
        <w:rPr>
          <w:rFonts w:ascii="Calibri" w:cs="Calibri" w:eastAsia="Calibri" w:hAnsi="Calibri"/>
          <w:color w:val="1F2A33"/>
          <w:sz w:val="21"/>
          <w:szCs w:val="21"/>
        </w:rPr>
        <w:t xml:space="preserve"> — coverage map construction, scope minimization, demo exchange curation, evaluation set design, out-of-scope statement.</w:t>
      </w:r>
    </w:p>
    <w:p>
      <w:pPr>
        <w:pStyle w:val="ListParagraph"/>
        <w:numPr>
          <w:ilvl w:val="0"/>
          <w:numId w:val="2"/>
        </w:numPr>
        <w:spacing w:after="70" w:line="268"/>
      </w:pPr>
      <w:r>
        <w:rPr>
          <w:rFonts w:ascii="Calibri" w:cs="Calibri" w:eastAsia="Calibri" w:hAnsi="Calibri"/>
          <w:b/>
          <w:bCs/>
          <w:color w:val="0B2C4D"/>
          <w:sz w:val="21"/>
          <w:szCs w:val="21"/>
        </w:rPr>
        <w:t xml:space="preserve">generator-conventions</w:t>
      </w:r>
      <w:r>
        <w:rPr>
          <w:rFonts w:ascii="Calibri" w:cs="Calibri" w:eastAsia="Calibri" w:hAnsi="Calibri"/>
          <w:color w:val="1F2A33"/>
          <w:sz w:val="21"/>
          <w:szCs w:val="21"/>
        </w:rPr>
        <w:t xml:space="preserve"> — header stamping, determinism, no hand edits, regeneration test.</w:t>
      </w:r>
    </w:p>
    <w:p>
      <w:pPr>
        <w:pStyle w:val="ListParagraph"/>
        <w:numPr>
          <w:ilvl w:val="0"/>
          <w:numId w:val="2"/>
        </w:numPr>
        <w:spacing w:after="70" w:line="268"/>
      </w:pPr>
      <w:r>
        <w:rPr>
          <w:rFonts w:ascii="Calibri" w:cs="Calibri" w:eastAsia="Calibri" w:hAnsi="Calibri"/>
          <w:b/>
          <w:bCs/>
          <w:color w:val="0B2C4D"/>
          <w:sz w:val="21"/>
          <w:szCs w:val="21"/>
        </w:rPr>
        <w:t xml:space="preserve">publish-gate</w:t>
      </w:r>
      <w:r>
        <w:rPr>
          <w:rFonts w:ascii="Calibri" w:cs="Calibri" w:eastAsia="Calibri" w:hAnsi="Calibri"/>
          <w:color w:val="1F2A33"/>
          <w:sz w:val="21"/>
          <w:szCs w:val="21"/>
        </w:rPr>
        <w:t xml:space="preserve"> — the full gate checklist for both asset classes, implemented as executable tests rather than documentation.</w:t>
      </w:r>
    </w:p>
    <w:p>
      <w:pPr>
        <w:pStyle w:val="ListParagraph"/>
        <w:numPr>
          <w:ilvl w:val="0"/>
          <w:numId w:val="2"/>
        </w:numPr>
        <w:spacing w:after="70" w:line="268"/>
      </w:pPr>
      <w:r>
        <w:rPr>
          <w:rFonts w:ascii="Calibri" w:cs="Calibri" w:eastAsia="Calibri" w:hAnsi="Calibri"/>
          <w:b/>
          <w:bCs/>
          <w:color w:val="0B2C4D"/>
          <w:sz w:val="21"/>
          <w:szCs w:val="21"/>
        </w:rPr>
        <w:t xml:space="preserve">mesh-computation</w:t>
      </w:r>
      <w:r>
        <w:rPr>
          <w:rFonts w:ascii="Calibri" w:cs="Calibri" w:eastAsia="Calibri" w:hAnsi="Calibri"/>
          <w:color w:val="1F2A33"/>
          <w:sz w:val="21"/>
          <w:szCs w:val="21"/>
        </w:rPr>
        <w:t xml:space="preserve"> — edge derivation, weighting, confidence and rationale requirements, review routing below threshold.</w:t>
      </w:r>
    </w:p>
    <w:p>
      <w:pPr>
        <w:pStyle w:val="ListParagraph"/>
        <w:numPr>
          <w:ilvl w:val="0"/>
          <w:numId w:val="2"/>
        </w:numPr>
        <w:spacing w:after="70" w:line="268"/>
      </w:pPr>
      <w:r>
        <w:rPr>
          <w:rFonts w:ascii="Calibri" w:cs="Calibri" w:eastAsia="Calibri" w:hAnsi="Calibri"/>
          <w:b/>
          <w:bCs/>
          <w:color w:val="0B2C4D"/>
          <w:sz w:val="21"/>
          <w:szCs w:val="21"/>
        </w:rPr>
        <w:t xml:space="preserve">demo-data-generation</w:t>
      </w:r>
      <w:r>
        <w:rPr>
          <w:rFonts w:ascii="Calibri" w:cs="Calibri" w:eastAsia="Calibri" w:hAnsi="Calibri"/>
          <w:color w:val="1F2A33"/>
          <w:sz w:val="21"/>
          <w:szCs w:val="21"/>
        </w:rPr>
        <w:t xml:space="preserve"> — synthetic dataset generation preserving distribution, seasonality, referential integrity and cardinality, with no real subject data.</w:t>
      </w:r>
    </w:p>
    <w:p>
      <w:pPr>
        <w:pStyle w:val="Heading2"/>
        <w:spacing w:after="120" w:before="280"/>
      </w:pPr>
      <w:r>
        <w:rPr>
          <w:rFonts w:ascii="Calibri" w:cs="Calibri" w:eastAsia="Calibri" w:hAnsi="Calibri"/>
          <w:b/>
          <w:bCs/>
          <w:color w:val="117A8B"/>
          <w:sz w:val="25"/>
          <w:szCs w:val="25"/>
        </w:rPr>
        <w:t xml:space="preserve">37.4 Non-Negotiable Engineering Constraints</w:t>
      </w:r>
    </w:p>
    <w:p>
      <w:pPr>
        <w:pStyle w:val="ListParagraph"/>
        <w:numPr>
          <w:ilvl w:val="0"/>
          <w:numId w:val="2"/>
        </w:numPr>
        <w:spacing w:after="70" w:line="268"/>
      </w:pPr>
      <w:r>
        <w:rPr>
          <w:rFonts w:ascii="Calibri" w:cs="Calibri" w:eastAsia="Calibri" w:hAnsi="Calibri"/>
          <w:color w:val="1F2A33"/>
          <w:sz w:val="21"/>
          <w:szCs w:val="21"/>
        </w:rPr>
        <w:t xml:space="preserve">CI asserts that no numeric threshold, weight or grade band appears in application source; all live in rubric tables.</w:t>
      </w:r>
    </w:p>
    <w:p>
      <w:pPr>
        <w:pStyle w:val="ListParagraph"/>
        <w:numPr>
          <w:ilvl w:val="0"/>
          <w:numId w:val="2"/>
        </w:numPr>
        <w:spacing w:after="70" w:line="268"/>
      </w:pPr>
      <w:r>
        <w:rPr>
          <w:rFonts w:ascii="Calibri" w:cs="Calibri" w:eastAsia="Calibri" w:hAnsi="Calibri"/>
          <w:color w:val="1F2A33"/>
          <w:sz w:val="21"/>
          <w:szCs w:val="21"/>
        </w:rPr>
        <w:t xml:space="preserve">CI asserts that connector service principals cannot write to any customer platform (kill test).</w:t>
      </w:r>
    </w:p>
    <w:p>
      <w:pPr>
        <w:pStyle w:val="ListParagraph"/>
        <w:numPr>
          <w:ilvl w:val="0"/>
          <w:numId w:val="2"/>
        </w:numPr>
        <w:spacing w:after="70" w:line="268"/>
      </w:pPr>
      <w:r>
        <w:rPr>
          <w:rFonts w:ascii="Calibri" w:cs="Calibri" w:eastAsia="Calibri" w:hAnsi="Calibri"/>
          <w:color w:val="1F2A33"/>
          <w:sz w:val="21"/>
          <w:szCs w:val="21"/>
        </w:rPr>
        <w:t xml:space="preserve">CI asserts that regenerating all artifacts from manifests produces no diff.</w:t>
      </w:r>
    </w:p>
    <w:p>
      <w:pPr>
        <w:pStyle w:val="ListParagraph"/>
        <w:numPr>
          <w:ilvl w:val="0"/>
          <w:numId w:val="2"/>
        </w:numPr>
        <w:spacing w:after="70" w:line="268"/>
      </w:pPr>
      <w:r>
        <w:rPr>
          <w:rFonts w:ascii="Calibri" w:cs="Calibri" w:eastAsia="Calibri" w:hAnsi="Calibri"/>
          <w:color w:val="1F2A33"/>
          <w:sz w:val="21"/>
          <w:szCs w:val="21"/>
        </w:rPr>
        <w:t xml:space="preserve">No row-data access path exists in the default build; the sampling module is a separate, permission-gated package with per-dataset authorization logging.</w:t>
      </w:r>
    </w:p>
    <w:p>
      <w:pPr>
        <w:pStyle w:val="ListParagraph"/>
        <w:numPr>
          <w:ilvl w:val="0"/>
          <w:numId w:val="2"/>
        </w:numPr>
        <w:spacing w:after="70" w:line="268"/>
      </w:pPr>
      <w:r>
        <w:rPr>
          <w:rFonts w:ascii="Calibri" w:cs="Calibri" w:eastAsia="Calibri" w:hAnsi="Calibri"/>
          <w:color w:val="1F2A33"/>
          <w:sz w:val="21"/>
          <w:szCs w:val="21"/>
        </w:rPr>
        <w:t xml:space="preserve">Every LLM-generated description, mesh rationale, duplicate match and value estimate stores its prompt, inputs, confidence and reviewer decision.</w:t>
      </w:r>
    </w:p>
    <w:p>
      <w:pPr>
        <w:pStyle w:val="ListParagraph"/>
        <w:numPr>
          <w:ilvl w:val="0"/>
          <w:numId w:val="2"/>
        </w:numPr>
        <w:spacing w:after="70" w:line="268"/>
      </w:pPr>
      <w:r>
        <w:rPr>
          <w:rFonts w:ascii="Calibri" w:cs="Calibri" w:eastAsia="Calibri" w:hAnsi="Calibri"/>
          <w:color w:val="1F2A33"/>
          <w:sz w:val="21"/>
          <w:szCs w:val="21"/>
        </w:rPr>
        <w:t xml:space="preserve">Publication snapshots are append-only; no code path updates a published snapshot in place.</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38. Delivery Roadmap &amp; Exit Criteria</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915"/>
        <w:gridCol w:w="4032"/>
        <w:gridCol w:w="4133"/>
      </w:tblGrid>
      <w:tr>
        <w:trPr>
          <w:tblHeader/>
        </w:trPr>
        <w:tc>
          <w:tcPr>
            <w:tcW w:type="dxa" w:w="191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Phase</w:t>
            </w:r>
          </w:p>
        </w:tc>
        <w:tc>
          <w:tcPr>
            <w:tcW w:type="dxa" w:w="4032"/>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Scope</w:t>
            </w:r>
          </w:p>
        </w:tc>
        <w:tc>
          <w:tcPr>
            <w:tcW w:type="dxa" w:w="413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Exit criteria</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P1 — Demo-ready core (weeks 1–10)</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Canonical model, manifests, generators, Snowflake connector, product catalog and detail, agent registry, demo console, seed catalog of 15 products and 14 agents, landing experience</w:t>
            </w:r>
          </w:p>
        </w:tc>
        <w:tc>
          <w:tcPr>
            <w:tcW w:type="dxa" w:w="413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 full client demonstration runs end to end on the seed catalog; all 70 curated exchanges pass nightly validation; landing page meets its LCP and accessibility budgets</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P2 — Governed request rails (weeks 11–18)</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Access, enhancement and demand workflows; policy evaluation; mechanical provisioning; entitlement register; duplicate-supply detection</w:t>
            </w:r>
          </w:p>
        </w:tc>
        <w:tc>
          <w:tcPr>
            <w:tcW w:type="dxa" w:w="413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Median time from request to provisioned access under one business day for auto-approve and owner-approve paths across three design partners; every grant carries a bound purpose and expiry</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P3 — Mesh &amp; observability (weeks 19–26)</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Both meshes with confidence and rationale; observability plane for products and agents; incident lifecycle; upstream trust banners</w:t>
            </w:r>
          </w:p>
        </w:tc>
        <w:tc>
          <w:tcPr>
            <w:tcW w:type="dxa" w:w="413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Both meshes render the full seed estate with a rationale on every edge; a simulated upstream breach propagates to the agent listing within five minutes</w:t>
            </w:r>
          </w:p>
        </w:tc>
      </w:tr>
      <w:tr>
        <w:tc>
          <w:tcPr>
            <w:tcW w:type="dxa" w:w="191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P4 — Value &amp; scale (weeks 27–36)</w:t>
            </w:r>
          </w:p>
        </w:tc>
        <w:tc>
          <w:tcPr>
            <w:tcW w:type="dxa" w:w="4032"/>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Value module, portfolio views, board-pack export, academy, Databricks and Fabric connectors, multi-tenancy hardening</w:t>
            </w:r>
          </w:p>
        </w:tc>
        <w:tc>
          <w:tcPr>
            <w:tcW w:type="dxa" w:w="413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Every published asset carries a reviewed value case with stated assumptions; a second platform is harvested through the same canonical model with no schema change</w:t>
            </w:r>
          </w:p>
        </w:tc>
      </w:tr>
      <w:tr>
        <w:tc>
          <w:tcPr>
            <w:tcW w:type="dxa" w:w="191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P5 — Marketplace network (beyond)</w:t>
            </w:r>
          </w:p>
        </w:tc>
        <w:tc>
          <w:tcPr>
            <w:tcW w:type="dxa" w:w="4032"/>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Cross-domain federation, external and partner data products, agent-to-agent composition with reconciliation checks, anonymized adoption benchmarking across tenants</w:t>
            </w:r>
          </w:p>
        </w:tc>
        <w:tc>
          <w:tcPr>
            <w:tcW w:type="dxa" w:w="413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Compositional exposure check blocks a genuinely over-scoped agent chain in a live estate; benchmark cohort reaches sufficient participants to publish comparisons</w:t>
            </w:r>
          </w:p>
        </w:tc>
      </w:tr>
    </w:tbl>
    <w:tbl>
      <w:tblPr>
        <w:tblW w:type="dxa" w:w="10080"/>
        <w:tblBorders>
          <w:top w:val="none" w:color="FFFFFF" w:sz="0"/>
          <w:left w:val="single" w:color="B98A1B" w:sz="18"/>
          <w:bottom w:val="none" w:color="FFFFFF" w:sz="0"/>
          <w:right w:val="none" w:color="FFFFFF" w:sz="0"/>
          <w:insideH w:val="none" w:color="FFFFFF" w:sz="0"/>
          <w:insideV w:val="none" w:color="FFFFFF" w:sz="0"/>
        </w:tblBorders>
      </w:tblPr>
      <w:tblGrid>
        <w:gridCol w:w="10080"/>
      </w:tblGrid>
      <w:tr>
        <w:tc>
          <w:tcPr>
            <w:tcW w:type="dxa" w:w="10080"/>
            <w:shd w:fill="E8F1F4" w:color="auto" w:val="clear"/>
            <w:tcMar>
              <w:top w:type="dxa" w:w="130"/>
              <w:left w:type="dxa" w:w="180"/>
              <w:bottom w:type="dxa" w:w="130"/>
              <w:right w:type="dxa" w:w="160"/>
            </w:tcMar>
          </w:tcPr>
          <w:p>
            <w:pPr>
              <w:spacing w:after="40" w:before="40" w:line="250"/>
              <w:jc w:val="left"/>
            </w:pPr>
            <w:r>
              <w:rPr>
                <w:rFonts w:ascii="Calibri" w:cs="Calibri" w:eastAsia="Calibri" w:hAnsi="Calibri"/>
                <w:b/>
                <w:bCs/>
                <w:color w:val="0B2C4D"/>
                <w:sz w:val="19"/>
                <w:szCs w:val="19"/>
              </w:rPr>
              <w:t xml:space="preserve">Two decisions to settle before P1 starts</w:t>
            </w:r>
          </w:p>
          <w:p>
            <w:pPr>
              <w:spacing w:after="40" w:before="40" w:line="250"/>
              <w:jc w:val="left"/>
            </w:pPr>
            <w:r>
              <w:rPr>
                <w:rFonts w:ascii="Calibri" w:cs="Calibri" w:eastAsia="Calibri" w:hAnsi="Calibri"/>
                <w:b w:val="false"/>
                <w:bCs w:val="false"/>
                <w:color w:val="1F2A33"/>
                <w:sz w:val="18"/>
                <w:szCs w:val="18"/>
              </w:rPr>
              <w:t xml:space="preserve">Demo-tier data strategy: fully synthetic generation for all 15 seed products (cleanest for client demos and regulated prospects, higher build cost) versus obfuscated extracts from a design partner (faster, but constrains who the demo can be shown to). The specification assumes fully synthetic.</w:t>
            </w:r>
          </w:p>
          <w:p>
            <w:pPr>
              <w:spacing w:after="40" w:before="40" w:line="250"/>
              <w:jc w:val="left"/>
            </w:pPr>
            <w:r>
              <w:rPr>
                <w:rFonts w:ascii="Calibri" w:cs="Calibri" w:eastAsia="Calibri" w:hAnsi="Calibri"/>
                <w:b w:val="false"/>
                <w:bCs w:val="false"/>
                <w:color w:val="1F2A33"/>
                <w:sz w:val="18"/>
                <w:szCs w:val="18"/>
              </w:rPr>
              <w:t xml:space="preserve">Agent runtime posture for the reference build: Snowflake-native only for P1 (fastest path, strongest security-review story, narrower prospect fit) versus a runtime-abstracted registry from the start (broader fit, materially more P1 work). The specification assumes Snowflake-native with adapters deferred to P4.</w:t>
            </w:r>
          </w:p>
        </w:tc>
      </w:tr>
    </w:tbl>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39. Client Demonstration Narrative</w:t>
      </w:r>
    </w:p>
    <w:p>
      <w:pPr>
        <w:spacing w:after="120" w:line="276"/>
        <w:jc w:val="left"/>
      </w:pPr>
      <w:r>
        <w:rPr>
          <w:rFonts w:ascii="Calibri" w:cs="Calibri" w:eastAsia="Calibri" w:hAnsi="Calibri"/>
          <w:b w:val="false"/>
          <w:bCs w:val="false"/>
          <w:i w:val="false"/>
          <w:iCs w:val="false"/>
          <w:color w:val="1F2A33"/>
          <w:sz w:val="21"/>
          <w:szCs w:val="21"/>
        </w:rPr>
        <w:t xml:space="preserve">A 20-minute demonstration structured so that every requirement in this specification is shown rather than described. Industry is selected on the front page in step one, so the same script runs for a bank, a hospital system or a retailer without modification.</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605"/>
        <w:gridCol w:w="1310"/>
        <w:gridCol w:w="5141"/>
        <w:gridCol w:w="3024"/>
      </w:tblGrid>
      <w:tr>
        <w:trPr>
          <w:tblHeader/>
        </w:trPr>
        <w:tc>
          <w:tcPr>
            <w:tcW w:type="dxa" w:w="605"/>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Min</w:t>
            </w:r>
          </w:p>
        </w:tc>
        <w:tc>
          <w:tcPr>
            <w:tcW w:type="dxa" w:w="1310"/>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Beat</w:t>
            </w:r>
          </w:p>
        </w:tc>
        <w:tc>
          <w:tcPr>
            <w:tcW w:type="dxa" w:w="5141"/>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What is shown</w:t>
            </w:r>
          </w:p>
        </w:tc>
        <w:tc>
          <w:tcPr>
            <w:tcW w:type="dxa" w:w="302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Point being made</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0–2</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shelf</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Landing page; select the prospect’s industry; live counters and featured products re-render for that vertical</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This is a product, not a catalog — and it already speaks your industry</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2–4</w:t>
            </w:r>
          </w:p>
        </w:tc>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Find</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Type a business question into universal search; results return a product and an agent ranked by KPI match, with quality and adoption badges visible before any click</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Discovery is by question, not by table name</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4–8</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Watch it answer</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Open the agent, run scripted questions 2 and 3; answer streams with a chart, the KPI definition, an as-of stamp and citations; open the right rail to show tool calls, rows scanned, latency and cost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Try before you buy — and every number is traceable</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8–10</w:t>
            </w:r>
          </w:p>
        </w:tc>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Trust</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Jump to the source data product: quality score with its six dimensions, the contract with conformance history, and the incident record</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Trust is rendered from telemetry, not asserted in a wiki</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10–12</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Consume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Endpoints tab: copy the MCP server definition and the SQL view; show the 403 response carrying the exact missing scope and a deep link to request it</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Any compliant agent can consume this; dead ends do not exist</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12–14</w:t>
            </w:r>
          </w:p>
        </w:tc>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Request</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File an access request; policy evaluation shows the approval path and SLA before submission; approve it live; show the provisioned role, bound purpose and expiry in the entitlement register</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Governance is a rail, not a queue</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14–16</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mesh</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Open the data mesh; hover a node to show shared sources; switch to blast-radius mode on a source system; switch to the agent mesh and show a KPI-overlap consolidation candidate</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This is the estate’s shape — and where duplication is forming</w:t>
            </w:r>
          </w:p>
        </w:tc>
      </w:tr>
      <w:tr>
        <w:tc>
          <w:tcPr>
            <w:tcW w:type="dxa" w:w="605"/>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16–18</w:t>
            </w:r>
          </w:p>
        </w:tc>
        <w:tc>
          <w:tcPr>
            <w:tcW w:type="dxa" w:w="1310"/>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Unmet demand</w:t>
            </w:r>
          </w:p>
        </w:tc>
        <w:tc>
          <w:tcPr>
            <w:tcW w:type="dxa" w:w="5141"/>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File a new-supply request; duplicate detection surfaces an existing product at 0.81 similarity and blocks progression pending review; then show the demand board with clustered themes</w:t>
            </w:r>
          </w:p>
        </w:tc>
        <w:tc>
          <w:tcPr>
            <w:tcW w:type="dxa" w:w="302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highest-value control in the product turns build requests into reuse decisions</w:t>
            </w:r>
          </w:p>
        </w:tc>
      </w:tr>
      <w:tr>
        <w:tc>
          <w:tcPr>
            <w:tcW w:type="dxa" w:w="605"/>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18–20</w:t>
            </w:r>
          </w:p>
        </w:tc>
        <w:tc>
          <w:tcPr>
            <w:tcW w:type="dxa" w:w="1310"/>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case</w:t>
            </w:r>
          </w:p>
        </w:tc>
        <w:tc>
          <w:tcPr>
            <w:tcW w:type="dxa" w:w="5141"/>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Portfolio value view: adoption curves, deflected hours with the derivation shown, value-versus-cost quadrant, retirement candidates, and the generated board pack</w:t>
            </w:r>
          </w:p>
        </w:tc>
        <w:tc>
          <w:tcPr>
            <w:tcW w:type="dxa" w:w="302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The investment defends itself with arithmetic the audience can check</w:t>
            </w:r>
          </w:p>
        </w:tc>
      </w:tr>
    </w:tbl>
    <w:p>
      <w:pPr>
        <w:pStyle w:val="Heading2"/>
        <w:spacing w:after="120" w:before="280"/>
      </w:pPr>
      <w:r>
        <w:rPr>
          <w:rFonts w:ascii="Calibri" w:cs="Calibri" w:eastAsia="Calibri" w:hAnsi="Calibri"/>
          <w:b/>
          <w:bCs/>
          <w:color w:val="117A8B"/>
          <w:sz w:val="25"/>
          <w:szCs w:val="25"/>
        </w:rPr>
        <w:t xml:space="preserve">39.1 Demonstration Rules</w:t>
      </w:r>
    </w:p>
    <w:p>
      <w:pPr>
        <w:pStyle w:val="ListParagraph"/>
        <w:numPr>
          <w:ilvl w:val="0"/>
          <w:numId w:val="2"/>
        </w:numPr>
        <w:spacing w:after="70" w:line="268"/>
      </w:pPr>
      <w:r>
        <w:rPr>
          <w:rFonts w:ascii="Calibri" w:cs="Calibri" w:eastAsia="Calibri" w:hAnsi="Calibri"/>
          <w:color w:val="1F2A33"/>
          <w:sz w:val="21"/>
          <w:szCs w:val="21"/>
        </w:rPr>
        <w:t xml:space="preserve">Never demonstrate on mocked answers. The demo tier runs the real agent against synthetic data and says so on screen — a prospect who discovers a mock loses trust in everything else shown.</w:t>
      </w:r>
    </w:p>
    <w:p>
      <w:pPr>
        <w:pStyle w:val="ListParagraph"/>
        <w:numPr>
          <w:ilvl w:val="0"/>
          <w:numId w:val="2"/>
        </w:numPr>
        <w:spacing w:after="70" w:line="268"/>
      </w:pPr>
      <w:r>
        <w:rPr>
          <w:rFonts w:ascii="Calibri" w:cs="Calibri" w:eastAsia="Calibri" w:hAnsi="Calibri"/>
          <w:color w:val="1F2A33"/>
          <w:sz w:val="21"/>
          <w:szCs w:val="21"/>
        </w:rPr>
        <w:t xml:space="preserve">Show one failure deliberately: the out-of-scope refusal with a handoff to another agent. Boundaries are a feature, and demonstrating one is more persuasive than five successes.</w:t>
      </w:r>
    </w:p>
    <w:p>
      <w:pPr>
        <w:pStyle w:val="ListParagraph"/>
        <w:numPr>
          <w:ilvl w:val="0"/>
          <w:numId w:val="2"/>
        </w:numPr>
        <w:spacing w:after="70" w:line="268"/>
      </w:pPr>
      <w:r>
        <w:rPr>
          <w:rFonts w:ascii="Calibri" w:cs="Calibri" w:eastAsia="Calibri" w:hAnsi="Calibri"/>
          <w:color w:val="1F2A33"/>
          <w:sz w:val="21"/>
          <w:szCs w:val="21"/>
        </w:rPr>
        <w:t xml:space="preserve">Keep the right rail open during at least one answer. Transparency of tool calls and cost is the strongest differentiator against a generic chat interface.</w:t>
      </w:r>
    </w:p>
    <w:p>
      <w:pPr>
        <w:pStyle w:val="ListParagraph"/>
        <w:numPr>
          <w:ilvl w:val="0"/>
          <w:numId w:val="2"/>
        </w:numPr>
        <w:spacing w:after="70" w:line="268"/>
      </w:pPr>
      <w:r>
        <w:rPr>
          <w:rFonts w:ascii="Calibri" w:cs="Calibri" w:eastAsia="Calibri" w:hAnsi="Calibri"/>
          <w:color w:val="1F2A33"/>
          <w:sz w:val="21"/>
          <w:szCs w:val="21"/>
        </w:rPr>
        <w:t xml:space="preserve">End on the value view, not on a feature. The buying decision is a budget decision.</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40. Risk Register &amp; Anti-Requirements</w:t>
      </w:r>
    </w:p>
    <w:p>
      <w:pPr>
        <w:spacing w:after="120" w:line="276"/>
        <w:jc w:val="left"/>
      </w:pPr>
      <w:r>
        <w:rPr>
          <w:rFonts w:ascii="Calibri" w:cs="Calibri" w:eastAsia="Calibri" w:hAnsi="Calibri"/>
          <w:b w:val="false"/>
          <w:bCs w:val="false"/>
          <w:i w:val="false"/>
          <w:iCs w:val="false"/>
          <w:color w:val="1F2A33"/>
          <w:sz w:val="21"/>
          <w:szCs w:val="21"/>
        </w:rPr>
        <w:t xml:space="preserve">The risks below are the ones that have killed comparable programmes. Each is paired with the specific mechanism in this specification that addresses it, so the mitigation is a design commitment rather than a project-management intention.</w:t>
      </w:r>
    </w:p>
    <w:p>
      <w:pPr>
        <w:pStyle w:val="Heading2"/>
        <w:spacing w:after="120" w:before="280"/>
      </w:pPr>
      <w:r>
        <w:rPr>
          <w:rFonts w:ascii="Calibri" w:cs="Calibri" w:eastAsia="Calibri" w:hAnsi="Calibri"/>
          <w:b/>
          <w:bCs/>
          <w:color w:val="117A8B"/>
          <w:sz w:val="25"/>
          <w:szCs w:val="25"/>
        </w:rPr>
        <w:t xml:space="preserve">40.1 Risk Register</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1613"/>
        <w:gridCol w:w="3629"/>
        <w:gridCol w:w="4838"/>
      </w:tblGrid>
      <w:tr>
        <w:trPr>
          <w:tblHeader/>
        </w:trPr>
        <w:tc>
          <w:tcPr>
            <w:tcW w:type="dxa" w:w="1613"/>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Risk</w:t>
            </w:r>
          </w:p>
        </w:tc>
        <w:tc>
          <w:tcPr>
            <w:tcW w:type="dxa" w:w="3629"/>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How it materialises</w:t>
            </w:r>
          </w:p>
        </w:tc>
        <w:tc>
          <w:tcPr>
            <w:tcW w:type="dxa" w:w="4838"/>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Mitigation in this specification</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Empty-shelf launch</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Marketplace opens with a dozen thin listings, consumers visit once and do not return</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Section 34 bootstrap path; seed catalog of 15 products and 14 agents; publish gates that make a thin listing impossible rather than merely discouraged</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Catalog decay</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Listings drift out of date, quality scores go stale, owners disengage</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Scores computed from telemetry rather than authored; value-case staleness rendered on the listing; dormant-asset and unreviewed-owner reporting in the portfolio view</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Governance theatre</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Approval workflows exist but everything is approved without reading</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Approval cards carry the requester’s existing access and prior denials; partial approval requires a reason; dormant grants are surfaced back to the approver who granted them</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Agent trust collapse</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One confidently wrong answer to an executive ends the programme</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Groundedness gate at 100%; blocking evaluation suites; upstream trust banners; the console refuses rather than guesses; recorded traces validated nightly</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KPI divergence</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Two agents give different answers for the same measure</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Section 28 registry with one definition per name, cross-agent reconciliation, and divergence treated as an incident against both agents</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Security review stall</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AI programme halts because agent entitlement scope cannot be described</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Distinct agent identities, intersection semantics, per-tool scopes, compositional exposure checks, and a complete access reconstruction for any answer</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Cost surprise</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Adoption succeeds and inference spend outruns the value case</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Section 30 unit economics, cost classes on every tool, budgets with graduated throttling, cost per accepted answer as a standing guardrail metric</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Shadow authorization</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marketplace slowly becomes the real access control plane and diverges from platform RBAC</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All grants provisioned into and revoked from native RBAC; the marketplace stores no effective permissions of its own; reconciliation job detects drift</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Rubric drift between domains</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Domains quietly tune weights until scores are incomparable</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Rubrics are central, versioned and forum-approved; tenant weighting profiles are explicit and displayed alongside every benchmark</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Motion as decoration</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animated front page is beautiful, slow, and inaccessible</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Section 6.10 budgets enforced in CI, transform-and-opacity-only rule, static equivalents for every ambient animation, global pause control</w:t>
            </w:r>
          </w:p>
        </w:tc>
      </w:tr>
      <w:tr>
        <w:tc>
          <w:tcPr>
            <w:tcW w:type="dxa" w:w="1613"/>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Demo-to-production gap</w:t>
            </w:r>
          </w:p>
        </w:tc>
        <w:tc>
          <w:tcPr>
            <w:tcW w:type="dxa" w:w="3629"/>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The demo works and the real deployment does not</w:t>
            </w:r>
          </w:p>
        </w:tc>
        <w:tc>
          <w:tcPr>
            <w:tcW w:type="dxa" w:w="4838"/>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Demo tier runs the same code path against synthetic data; no mocked answers; the same publish gates apply to seed assets as to customer assets</w:t>
            </w:r>
          </w:p>
        </w:tc>
      </w:tr>
      <w:tr>
        <w:tc>
          <w:tcPr>
            <w:tcW w:type="dxa" w:w="1613"/>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5"/>
                <w:szCs w:val="15"/>
              </w:rPr>
              <w:t xml:space="preserve">Standards lock-in</w:t>
            </w:r>
          </w:p>
        </w:tc>
        <w:tc>
          <w:tcPr>
            <w:tcW w:type="dxa" w:w="3629"/>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A proprietary interface becomes the reason a customer cannot leave, and then the reason they never buy</w:t>
            </w:r>
          </w:p>
        </w:tc>
        <w:tc>
          <w:tcPr>
            <w:tcW w:type="dxa" w:w="4838"/>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5"/>
                <w:szCs w:val="15"/>
              </w:rPr>
              <w:t xml:space="preserve">Section 31 conformance tests; manifests and lineage exportable; products consumable from a second engine without schema change</w:t>
            </w:r>
          </w:p>
        </w:tc>
      </w:tr>
    </w:tbl>
    <w:p>
      <w:pPr>
        <w:pStyle w:val="Heading2"/>
        <w:spacing w:after="120" w:before="280"/>
      </w:pPr>
      <w:r>
        <w:rPr>
          <w:rFonts w:ascii="Calibri" w:cs="Calibri" w:eastAsia="Calibri" w:hAnsi="Calibri"/>
          <w:b/>
          <w:bCs/>
          <w:color w:val="117A8B"/>
          <w:sz w:val="25"/>
          <w:szCs w:val="25"/>
        </w:rPr>
        <w:t xml:space="preserve">40.2 Anti-Requirements</w:t>
      </w:r>
    </w:p>
    <w:p>
      <w:pPr>
        <w:spacing w:after="120" w:line="276"/>
        <w:jc w:val="left"/>
      </w:pPr>
      <w:r>
        <w:rPr>
          <w:rFonts w:ascii="Calibri" w:cs="Calibri" w:eastAsia="Calibri" w:hAnsi="Calibri"/>
          <w:b w:val="false"/>
          <w:bCs w:val="false"/>
          <w:i w:val="false"/>
          <w:iCs w:val="false"/>
          <w:color w:val="1F2A33"/>
          <w:sz w:val="21"/>
          <w:szCs w:val="21"/>
        </w:rPr>
        <w:t xml:space="preserve">Things this product will deliberately not do, recorded so that they are re-litigated with intent rather than added quietly under delivery pressure.</w:t>
      </w:r>
    </w:p>
    <w:p>
      <w:pPr>
        <w:pStyle w:val="ListParagraph"/>
        <w:numPr>
          <w:ilvl w:val="0"/>
          <w:numId w:val="2"/>
        </w:numPr>
        <w:spacing w:after="70" w:line="268"/>
      </w:pPr>
      <w:r>
        <w:rPr>
          <w:rFonts w:ascii="Calibri" w:cs="Calibri" w:eastAsia="Calibri" w:hAnsi="Calibri"/>
          <w:b/>
          <w:bCs/>
          <w:color w:val="0B2C4D"/>
          <w:sz w:val="21"/>
          <w:szCs w:val="21"/>
        </w:rPr>
        <w:t xml:space="preserve">No auto-publishing of inferred content.</w:t>
      </w:r>
      <w:r>
        <w:rPr>
          <w:rFonts w:ascii="Calibri" w:cs="Calibri" w:eastAsia="Calibri" w:hAnsi="Calibri"/>
          <w:color w:val="1F2A33"/>
          <w:sz w:val="21"/>
          <w:szCs w:val="21"/>
        </w:rPr>
        <w:t xml:space="preserve"> Inference drafts; humans approve. This will be challenged every time the backlog is long, and the answer does not change.</w:t>
      </w:r>
    </w:p>
    <w:p>
      <w:pPr>
        <w:pStyle w:val="ListParagraph"/>
        <w:numPr>
          <w:ilvl w:val="0"/>
          <w:numId w:val="2"/>
        </w:numPr>
        <w:spacing w:after="70" w:line="268"/>
      </w:pPr>
      <w:r>
        <w:rPr>
          <w:rFonts w:ascii="Calibri" w:cs="Calibri" w:eastAsia="Calibri" w:hAnsi="Calibri"/>
          <w:b/>
          <w:bCs/>
          <w:color w:val="0B2C4D"/>
          <w:sz w:val="21"/>
          <w:szCs w:val="21"/>
        </w:rPr>
        <w:t xml:space="preserve">No effective-permission store.</w:t>
      </w:r>
      <w:r>
        <w:rPr>
          <w:rFonts w:ascii="Calibri" w:cs="Calibri" w:eastAsia="Calibri" w:hAnsi="Calibri"/>
          <w:color w:val="1F2A33"/>
          <w:sz w:val="21"/>
          <w:szCs w:val="21"/>
        </w:rPr>
        <w:t xml:space="preserve"> The marketplace will not cache or compute what a user can see. It requests, records and reconciles; the platform decides.</w:t>
      </w:r>
    </w:p>
    <w:p>
      <w:pPr>
        <w:pStyle w:val="ListParagraph"/>
        <w:numPr>
          <w:ilvl w:val="0"/>
          <w:numId w:val="2"/>
        </w:numPr>
        <w:spacing w:after="70" w:line="268"/>
      </w:pPr>
      <w:r>
        <w:rPr>
          <w:rFonts w:ascii="Calibri" w:cs="Calibri" w:eastAsia="Calibri" w:hAnsi="Calibri"/>
          <w:b/>
          <w:bCs/>
          <w:color w:val="0B2C4D"/>
          <w:sz w:val="21"/>
          <w:szCs w:val="21"/>
        </w:rPr>
        <w:t xml:space="preserve">No row-level data in the default build.</w:t>
      </w:r>
      <w:r>
        <w:rPr>
          <w:rFonts w:ascii="Calibri" w:cs="Calibri" w:eastAsia="Calibri" w:hAnsi="Calibri"/>
          <w:color w:val="1F2A33"/>
          <w:sz w:val="21"/>
          <w:szCs w:val="21"/>
        </w:rPr>
        <w:t xml:space="preserve"> Preview and sampling remain a separate, permission-gated package with per-dataset authorization logging.</w:t>
      </w:r>
    </w:p>
    <w:p>
      <w:pPr>
        <w:pStyle w:val="ListParagraph"/>
        <w:numPr>
          <w:ilvl w:val="0"/>
          <w:numId w:val="2"/>
        </w:numPr>
        <w:spacing w:after="70" w:line="268"/>
      </w:pPr>
      <w:r>
        <w:rPr>
          <w:rFonts w:ascii="Calibri" w:cs="Calibri" w:eastAsia="Calibri" w:hAnsi="Calibri"/>
          <w:b/>
          <w:bCs/>
          <w:color w:val="0B2C4D"/>
          <w:sz w:val="21"/>
          <w:szCs w:val="21"/>
        </w:rPr>
        <w:t xml:space="preserve">No mocked demo answers, ever</w:t>
      </w:r>
      <w:r>
        <w:rPr>
          <w:rFonts w:ascii="Calibri" w:cs="Calibri" w:eastAsia="Calibri" w:hAnsi="Calibri"/>
          <w:color w:val="1F2A33"/>
          <w:sz w:val="21"/>
          <w:szCs w:val="21"/>
        </w:rPr>
        <w:t xml:space="preserve">, including in sales-led demonstrations. A recorded real trace is acceptable and labelled; a fabricated one is not.</w:t>
      </w:r>
    </w:p>
    <w:p>
      <w:pPr>
        <w:pStyle w:val="ListParagraph"/>
        <w:numPr>
          <w:ilvl w:val="0"/>
          <w:numId w:val="2"/>
        </w:numPr>
        <w:spacing w:after="70" w:line="268"/>
      </w:pPr>
      <w:r>
        <w:rPr>
          <w:rFonts w:ascii="Calibri" w:cs="Calibri" w:eastAsia="Calibri" w:hAnsi="Calibri"/>
          <w:b/>
          <w:bCs/>
          <w:color w:val="0B2C4D"/>
          <w:sz w:val="21"/>
          <w:szCs w:val="21"/>
        </w:rPr>
        <w:t xml:space="preserve">No score without a rubric version.</w:t>
      </w:r>
      <w:r>
        <w:rPr>
          <w:rFonts w:ascii="Calibri" w:cs="Calibri" w:eastAsia="Calibri" w:hAnsi="Calibri"/>
          <w:color w:val="1F2A33"/>
          <w:sz w:val="21"/>
          <w:szCs w:val="21"/>
        </w:rPr>
        <w:t xml:space="preserve"> A number on a screen that cannot be reproduced against a pinned rubric is not shipped.</w:t>
      </w:r>
    </w:p>
    <w:p>
      <w:pPr>
        <w:pStyle w:val="ListParagraph"/>
        <w:numPr>
          <w:ilvl w:val="0"/>
          <w:numId w:val="2"/>
        </w:numPr>
        <w:spacing w:after="70" w:line="268"/>
      </w:pPr>
      <w:r>
        <w:rPr>
          <w:rFonts w:ascii="Calibri" w:cs="Calibri" w:eastAsia="Calibri" w:hAnsi="Calibri"/>
          <w:b/>
          <w:bCs/>
          <w:color w:val="0B2C4D"/>
          <w:sz w:val="21"/>
          <w:szCs w:val="21"/>
        </w:rPr>
        <w:t xml:space="preserve">No agent without an out-of-scope statement.</w:t>
      </w:r>
      <w:r>
        <w:rPr>
          <w:rFonts w:ascii="Calibri" w:cs="Calibri" w:eastAsia="Calibri" w:hAnsi="Calibri"/>
          <w:color w:val="1F2A33"/>
          <w:sz w:val="21"/>
          <w:szCs w:val="21"/>
        </w:rPr>
        <w:t xml:space="preserve"> A boundary the owner cannot articulate is a boundary the platform cannot enforce.</w:t>
      </w:r>
    </w:p>
    <w:p>
      <w:pPr>
        <w:pStyle w:val="ListParagraph"/>
        <w:numPr>
          <w:ilvl w:val="0"/>
          <w:numId w:val="2"/>
        </w:numPr>
        <w:spacing w:after="70" w:line="268"/>
      </w:pPr>
      <w:r>
        <w:rPr>
          <w:rFonts w:ascii="Calibri" w:cs="Calibri" w:eastAsia="Calibri" w:hAnsi="Calibri"/>
          <w:b/>
          <w:bCs/>
          <w:color w:val="0B2C4D"/>
          <w:sz w:val="21"/>
          <w:szCs w:val="21"/>
        </w:rPr>
        <w:t xml:space="preserve">No metric in the product analytics layer that is neither an input nor a guardrail</w:t>
      </w:r>
      <w:r>
        <w:rPr>
          <w:rFonts w:ascii="Calibri" w:cs="Calibri" w:eastAsia="Calibri" w:hAnsi="Calibri"/>
          <w:color w:val="1F2A33"/>
          <w:sz w:val="21"/>
          <w:szCs w:val="21"/>
        </w:rPr>
        <w:t xml:space="preserve"> in the Section 35 tree.</w:t>
      </w:r>
    </w:p>
    <w:p>
      <w:pPr>
        <w:pStyle w:val="ListParagraph"/>
        <w:numPr>
          <w:ilvl w:val="0"/>
          <w:numId w:val="2"/>
        </w:numPr>
        <w:spacing w:after="70" w:line="268"/>
      </w:pPr>
      <w:r>
        <w:rPr>
          <w:rFonts w:ascii="Calibri" w:cs="Calibri" w:eastAsia="Calibri" w:hAnsi="Calibri"/>
          <w:b/>
          <w:bCs/>
          <w:color w:val="0B2C4D"/>
          <w:sz w:val="21"/>
          <w:szCs w:val="21"/>
        </w:rPr>
        <w:t xml:space="preserve">No brand string or hex value in application source.</w:t>
      </w:r>
      <w:r>
        <w:rPr>
          <w:rFonts w:ascii="Calibri" w:cs="Calibri" w:eastAsia="Calibri" w:hAnsi="Calibri"/>
          <w:color w:val="1F2A33"/>
          <w:sz w:val="21"/>
          <w:szCs w:val="21"/>
        </w:rPr>
        <w:t xml:space="preserve"> Theming is configuration; a fork for a partner deployment is a defect.</w:t>
      </w:r>
    </w:p>
    <w:p>
      <w:pPr>
        <w:pStyle w:val="Heading1"/>
        <w:pageBreakBefore/>
        <w:pBdr>
          <w:bottom w:val="single" w:color="B98A1B" w:sz="12" w:space="6"/>
        </w:pBdr>
        <w:spacing w:after="180" w:before="240"/>
      </w:pPr>
      <w:r>
        <w:rPr>
          <w:rFonts w:ascii="Calibri" w:cs="Calibri" w:eastAsia="Calibri" w:hAnsi="Calibri"/>
          <w:b/>
          <w:bCs/>
          <w:color w:val="0B2C4D"/>
          <w:sz w:val="32"/>
          <w:szCs w:val="32"/>
        </w:rPr>
        <w:t xml:space="preserve">Appendix A — Requirement Traceability</w:t>
      </w:r>
    </w:p>
    <w:p>
      <w:pPr>
        <w:spacing w:after="120" w:line="276"/>
        <w:jc w:val="left"/>
      </w:pPr>
      <w:r>
        <w:rPr>
          <w:rFonts w:ascii="Calibri" w:cs="Calibri" w:eastAsia="Calibri" w:hAnsi="Calibri"/>
          <w:b w:val="false"/>
          <w:bCs w:val="false"/>
          <w:i w:val="false"/>
          <w:iCs w:val="false"/>
          <w:color w:val="1F2A33"/>
          <w:sz w:val="21"/>
          <w:szCs w:val="21"/>
        </w:rPr>
        <w:t xml:space="preserve">Every requirement in the original brief, and every addition from the architecture review, mapped to the section that specifies it.</w:t>
      </w:r>
    </w:p>
    <w:tbl>
      <w:tblPr>
        <w:tblW w:type="dxa" w:w="10080"/>
        <w:tblBorders>
          <w:top w:val="single" w:color="C6D5DC" w:sz="4"/>
          <w:left w:val="single" w:color="C6D5DC" w:sz="4"/>
          <w:bottom w:val="single" w:color="C6D5DC" w:sz="4"/>
          <w:right w:val="single" w:color="C6D5DC" w:sz="4"/>
          <w:insideH w:val="single" w:color="D9E4E9" w:sz="2"/>
          <w:insideV w:val="single" w:color="D9E4E9" w:sz="2"/>
        </w:tblBorders>
      </w:tblPr>
      <w:tblGrid>
        <w:gridCol w:w="4234"/>
        <w:gridCol w:w="5846"/>
      </w:tblGrid>
      <w:tr>
        <w:trPr>
          <w:tblHeader/>
        </w:trPr>
        <w:tc>
          <w:tcPr>
            <w:tcW w:type="dxa" w:w="4234"/>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Requirement</w:t>
            </w:r>
          </w:p>
        </w:tc>
        <w:tc>
          <w:tcPr>
            <w:tcW w:type="dxa" w:w="5846"/>
            <w:shd w:fill="0B2C4D" w:color="auto" w:val="clear"/>
            <w:tcMar>
              <w:top w:type="dxa" w:w="70"/>
              <w:left w:type="dxa" w:w="100"/>
              <w:bottom w:type="dxa" w:w="70"/>
              <w:right w:type="dxa" w:w="100"/>
            </w:tcMar>
            <w:vAlign w:val="center"/>
          </w:tcPr>
          <w:p>
            <w:pPr>
              <w:spacing w:after="40" w:before="40" w:line="250"/>
              <w:jc w:val="left"/>
            </w:pPr>
            <w:r>
              <w:rPr>
                <w:rFonts w:ascii="Calibri" w:cs="Calibri" w:eastAsia="Calibri" w:hAnsi="Calibri"/>
                <w:b/>
                <w:bCs/>
                <w:color w:val="FFFFFF"/>
                <w:sz w:val="18"/>
                <w:szCs w:val="18"/>
              </w:rPr>
              <w:t xml:space="preserve">Specified in</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Browse marketplace for domain-specific data products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§5 IA · §7 Catalog · §25 Seed catalog</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Browse AI agents and see which KPIs each can answer</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§10 Agent catalog · §11.2 KPI coverage map · §26 Agent register · §28 KPI registry</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Request access for data products and agents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§13 Access request, policy evaluation, mechanical provisioning</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Request enhancements on a data product</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§14 Enhancement workflow and public backlog</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Request new data products and agents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§15 Demand intake, duplicate detection, demand board</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Consumption patterns, DQ score, owner, contracts, MCP/AI endpoints per product</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§8.4 Quality · §8.5 Contract · §8.8 Consumption · §9 Endpoints including MCP</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Clear agent description and how it helps business analysis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§11.1 Overview with required business-value and out-of-scope blocks</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At least five demo questions and answers per agent</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§12 Demo console · §26.3 Publish gate · §27 Seventy scripted exchanges</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Usage, adoption and value case for every asset</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§22 Value realization · §8.9 · §11.7 · §25.3 · §26.2 · §30 Unit economics</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Mesh for data products linked by shared sources</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§16 Data product mesh</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Mesh for AI agents linking similar agents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§17 Agent mesh</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Data model</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§21 Canonical model, relationships, physical schema, invariants</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Academy</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§20 Learning paths, sandboxes, certification</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Observability for products and agents</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§19 Signals and incident lifecycle · §29 AgentOps</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Coverage of all major industries, 10+ products and 10+ agents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§25 Fifteen products · §26 Fourteen agents across nine industries; taxonomy supports twelve</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Enterprise grade and client-demo ready</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§24 NFR, security, compliance · §33 Testing and release · §38 Roadmap · §39 Demo narrative</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Best-in-class front page</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§6.1–6.4 Landing experience, visual system, ten bands, budgets</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Moving data product and agent visuals on the front page</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§6.5 Motion system · §6.6 Living data product ribbon · §6.7 Agent constellation · §6.8 Live answer theatre · §6.9 Activity ticker · §6.10 Motion budget</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Unbranded, white-labelable product identity</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Title block · §32.1 Token architecture · §36 Partner edition</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Single authoritative KPI definitions</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§28 Certified KPI registry and divergence detection</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Agent evaluation, safety and release governance</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§29 AgentOps</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Cost control and unit economics</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§30 Cost governance and FinOps</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Open standards and interoperability</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§31 Standards conformance tests</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Design system and front-end engineering discipline</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§32</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Test strategy, environments, SLOs and release process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§33</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Getting from empty catalog to live marketplace</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§34 Estate bootstrap, ninety-day path</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Product success measurement</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§35 Metric tree, activation funnel, instrumentation</w:t>
            </w:r>
          </w:p>
        </w:tc>
      </w:tr>
      <w:tr>
        <w:tc>
          <w:tcPr>
            <w:tcW w:type="dxa" w:w="4234"/>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Packaging and commercial constraints on architecture</w:t>
            </w:r>
          </w:p>
        </w:tc>
        <w:tc>
          <w:tcPr>
            <w:tcW w:type="dxa" w:w="5846"/>
            <w:shd w:fill="F5F9FA"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§36</w:t>
            </w:r>
          </w:p>
        </w:tc>
      </w:tr>
      <w:tr>
        <w:tc>
          <w:tcPr>
            <w:tcW w:type="dxa" w:w="4234"/>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bCs/>
                <w:color w:val="0B2C4D"/>
                <w:sz w:val="16"/>
                <w:szCs w:val="16"/>
              </w:rPr>
              <w:t xml:space="preserve">Known risks and explicit non-goals</w:t>
            </w:r>
          </w:p>
        </w:tc>
        <w:tc>
          <w:tcPr>
            <w:tcW w:type="dxa" w:w="5846"/>
            <w:shd w:fill="FFFFFF" w:color="auto" w:val="clear"/>
            <w:tcMar>
              <w:top w:type="dxa" w:w="60"/>
              <w:left w:type="dxa" w:w="100"/>
              <w:bottom w:type="dxa" w:w="60"/>
              <w:right w:type="dxa" w:w="100"/>
            </w:tcMar>
            <w:vAlign w:val="top"/>
          </w:tcPr>
          <w:p>
            <w:pPr>
              <w:spacing w:after="40" w:before="40" w:line="250"/>
              <w:jc w:val="left"/>
            </w:pPr>
            <w:r>
              <w:rPr>
                <w:rFonts w:ascii="Calibri" w:cs="Calibri" w:eastAsia="Calibri" w:hAnsi="Calibri"/>
                <w:b w:val="false"/>
                <w:bCs w:val="false"/>
                <w:color w:val="1F2A33"/>
                <w:sz w:val="16"/>
                <w:szCs w:val="16"/>
              </w:rPr>
              <w:t xml:space="preserve">§40 Risk register and anti-requirements</w:t>
            </w:r>
          </w:p>
        </w:tc>
      </w:tr>
    </w:tbl>
    <w:p>
      <w:pPr>
        <w:spacing w:after="200"/>
      </w:pPr>
      <w:r>
        <w:t xml:space="preserve"/>
      </w:r>
    </w:p>
    <w:p>
      <w:pPr>
        <w:spacing w:after="120" w:line="276"/>
        <w:jc w:val="left"/>
      </w:pPr>
      <w:r>
        <w:rPr>
          <w:rFonts w:ascii="Calibri" w:cs="Calibri" w:eastAsia="Calibri" w:hAnsi="Calibri"/>
          <w:b/>
          <w:bCs/>
          <w:i w:val="false"/>
          <w:iCs w:val="false"/>
          <w:color w:val="1F2A33"/>
          <w:sz w:val="21"/>
          <w:szCs w:val="21"/>
        </w:rPr>
        <w:t xml:space="preserve">End of specification. </w:t>
      </w:r>
      <w:r>
        <w:rPr>
          <w:rFonts w:ascii="Calibri" w:cs="Calibri" w:eastAsia="Calibri" w:hAnsi="Calibri"/>
          <w:b w:val="false"/>
          <w:bCs w:val="false"/>
          <w:i w:val="false"/>
          <w:iCs w:val="false"/>
          <w:color w:val="1F2A33"/>
          <w:sz w:val="21"/>
          <w:szCs w:val="21"/>
        </w:rPr>
        <w:t xml:space="preserve">The companion build markdown renders this specification as an executable task plan for a coding agent; manifests, rubric YAML and golden-answer fixtures are generated from both.</w:t>
      </w:r>
    </w:p>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98A3"/>
        <w:sz w:val="16"/>
        <w:szCs w:val="16"/>
      </w:rPr>
      <w:t xml:space="preserve">September 2026        </w:t>
    </w:r>
    <w:r>
      <w:rPr>
        <w:rFonts w:ascii="Calibri" w:cs="Calibri" w:eastAsia="Calibri" w:hAnsi="Calibri"/>
        <w:b/>
        <w:bCs/>
        <w:color w:val="0B2C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5DC" w:sz="4" w:space="4"/>
      </w:pBdr>
    </w:pPr>
    <w:r>
      <w:rPr>
        <w:rFonts w:ascii="Calibri" w:cs="Calibri" w:eastAsia="Calibri" w:hAnsi="Calibri"/>
        <w:b/>
        <w:bCs/>
        <w:color w:val="0B2C4D"/>
        <w:sz w:val="16"/>
        <w:szCs w:val="16"/>
      </w:rPr>
      <w:t xml:space="preserve">ENTERPRISE DATA PRODUCT &amp; AI AGENT MARKETPLACE</w:t>
    </w:r>
    <w:r>
      <w:rPr>
        <w:rFonts w:ascii="Calibri" w:cs="Calibri" w:eastAsia="Calibri" w:hAnsi="Calibri"/>
        <w:color w:val="6B7B87"/>
        <w:sz w:val="16"/>
        <w:szCs w:val="16"/>
      </w:rPr>
      <w:t xml:space="preserve">   ·   Product Blueprint &amp; Build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B98A1B"/>
      </w:rPr>
    </w:lvl>
    <w:lvl w:ilvl="1" w15:tentative="1">
      <w:start w:val="1"/>
      <w:numFmt w:val="bullet"/>
      <w:lvlText w:val="–"/>
      <w:lvlJc w:val="left"/>
      <w:pPr>
        <w:ind w:left="680" w:hanging="200"/>
      </w:pPr>
      <w:rPr>
        <w:color w:val="117A8B"/>
      </w:rPr>
    </w:lvl>
  </w:abstractNum>
  <w:abstractNum w:abstractNumId="3" w15:restartNumberingAfterBreak="0">
    <w:multiLevelType w:val="hybridMultilevel"/>
    <w:lvl w:ilvl="0" w15:tentative="1">
      <w:start w:val="1"/>
      <w:numFmt w:val="decimal"/>
      <w:lvlText w:val="%1."/>
      <w:lvlJc w:val="left"/>
      <w:pPr>
        <w:ind w:left="380" w:hanging="240"/>
      </w:pPr>
      <w:rPr>
        <w:b/>
        <w:bCs/>
        <w:color w:val="117A8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Product &amp; AI Agent Marketplace — Product Blueprint &amp; Build Specification</dc:title>
  <dc:creator>Platform Product Team</dc:creator>
  <dc:description>Product blueprint and build specification, v2.0</dc:description>
  <cp:lastModifiedBy>Un-named</cp:lastModifiedBy>
  <cp:revision>1</cp:revision>
  <dcterms:created xsi:type="dcterms:W3CDTF">2026-09-04T01:44:04.131Z</dcterms:created>
  <dcterms:modified xsi:type="dcterms:W3CDTF">2026-09-04T01:44:04.131Z</dcterms:modified>
</cp:coreProperties>
</file>

<file path=docProps/custom.xml><?xml version="1.0" encoding="utf-8"?>
<Properties xmlns="http://schemas.openxmlformats.org/officeDocument/2006/custom-properties" xmlns:vt="http://schemas.openxmlformats.org/officeDocument/2006/docPropsVTypes"/>
</file>