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jpeg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5-Year Revenue and Growth Overview – Industry Insights</w:t>
      </w:r>
    </w:p>
    <w:p>
      <w:pPr>
        <w:pStyle w:val="Heading1"/>
      </w:pPr>
      <w:r>
        <w:t>1. Renewable Energy Sector</w:t>
      </w:r>
    </w:p>
    <w:p>
      <w:r>
        <w:t>The renewable energy sector has experienced significant growth over the past five years, driven by global sustainability goals and technological advancements.</w:t>
      </w:r>
    </w:p>
    <w:p>
      <w:pPr>
        <w:pStyle w:val="ListBullet"/>
      </w:pPr>
      <w:r>
        <w:t>Key Highlights:</w:t>
      </w:r>
    </w:p>
    <w:p>
      <w:pPr>
        <w:pStyle w:val="ListBullet"/>
      </w:pPr>
      <w:r>
        <w:t>• Average Revenue CAGR: 15.73%</w:t>
      </w:r>
    </w:p>
    <w:p>
      <w:r>
        <w:t>• Notable Companies: GreenVolt Energy, SolarNova Inc., EcoGrid Solutions</w:t>
      </w:r>
    </w:p>
    <w:p>
      <w:r>
        <w:t>• Innovations: AI-powered grid optimization, next-gen solar panels, offshore wind farms</w:t>
      </w:r>
    </w:p>
    <w:p>
      <w:r>
        <w:t>Source: NYU Stern Historical Growth Rates, Aranca Revenue Benchmarks</w:t>
      </w:r>
    </w:p>
    <w:p>
      <w:pPr>
        <w:pStyle w:val="Heading1"/>
      </w:pPr>
      <w:r>
        <w:t>2. Pharmaceutical Sector</w:t>
      </w:r>
    </w:p>
    <w:p>
      <w:r>
        <w:t>The pharmaceutical industry has shown robust revenue growth, particularly due to increased R&amp;D investments and global demand for healthcare solutions.</w:t>
      </w:r>
    </w:p>
    <w:p>
      <w:pPr>
        <w:pStyle w:val="ListBullet"/>
      </w:pPr>
      <w:r>
        <w:t>Key Highlights:</w:t>
      </w:r>
    </w:p>
    <w:p>
      <w:pPr>
        <w:pStyle w:val="ListBullet"/>
      </w:pPr>
      <w:r>
        <w:t>• Average Revenue CAGR: 24.78%</w:t>
      </w:r>
    </w:p>
    <w:p>
      <w:r>
        <w:t>• Notable Companies: Medigenix Corp., BioNova Therapeutics, CurePath Labs</w:t>
      </w:r>
    </w:p>
    <w:p>
      <w:r>
        <w:t>• Innovations: mRNA therapies, AI-driven drug discovery, personalized medicine</w:t>
      </w:r>
    </w:p>
    <w:p>
      <w:r>
        <w:t>Source: NYU Stern Historical Growth Rates</w:t>
      </w:r>
    </w:p>
    <w:p>
      <w:pPr>
        <w:pStyle w:val="Heading1"/>
      </w:pPr>
      <w:r>
        <w:t>3. Automotive Sector</w:t>
      </w:r>
    </w:p>
    <w:p>
      <w:r>
        <w:t>The automotive sector has undergone a transformation with the rise of electric vehicles and autonomous driving technologies.</w:t>
      </w:r>
    </w:p>
    <w:p>
      <w:pPr>
        <w:pStyle w:val="ListBullet"/>
      </w:pPr>
      <w:r>
        <w:t>Key Highlights:</w:t>
      </w:r>
    </w:p>
    <w:p>
      <w:pPr>
        <w:pStyle w:val="ListBullet"/>
      </w:pPr>
      <w:r>
        <w:t>• Average Revenue CAGR: 10.9%</w:t>
      </w:r>
    </w:p>
    <w:p>
      <w:r>
        <w:t>• Notable Companies: AutoNova Motors, DriveTech Inc., VoltCruze</w:t>
      </w:r>
    </w:p>
    <w:p>
      <w:r>
        <w:t>• Innovations: EV platforms, autonomous navigation systems, connected car ecosystems</w:t>
      </w:r>
    </w:p>
    <w:p>
      <w:r>
        <w:t>Source: NYU Stern Historical Growth Rates</w:t>
      </w:r>
    </w:p>
    <w:p>
      <w:pPr>
        <w:pStyle w:val="Heading1"/>
      </w:pPr>
      <w:r>
        <w:t>4. Technology Sector</w:t>
      </w:r>
    </w:p>
    <w:p>
      <w:r>
        <w:t>Technology companies have consistently led in revenue growth, fueled by cloud computing, AI, and digital transformation.</w:t>
      </w:r>
    </w:p>
    <w:p>
      <w:pPr>
        <w:pStyle w:val="ListBullet"/>
      </w:pPr>
      <w:r>
        <w:t>Key Highlights:</w:t>
      </w:r>
    </w:p>
    <w:p>
      <w:pPr>
        <w:pStyle w:val="ListBullet"/>
      </w:pPr>
      <w:r>
        <w:t>• Top Performers (5-Year Return):</w:t>
      </w:r>
    </w:p>
    <w:p>
      <w:pPr>
        <w:pStyle w:val="ListBullet"/>
      </w:pPr>
      <w:r>
        <w:t xml:space="preserve">   - Applied Digital (APLD): +8,125%</w:t>
      </w:r>
    </w:p>
    <w:p>
      <w:pPr>
        <w:pStyle w:val="ListBullet"/>
      </w:pPr>
      <w:r>
        <w:t xml:space="preserve">   - Innodata (INOD): +3,200%</w:t>
      </w:r>
    </w:p>
    <w:p>
      <w:pPr>
        <w:pStyle w:val="ListBullet"/>
      </w:pPr>
      <w:r>
        <w:t xml:space="preserve">   - Limbach Holdings (LMB): +2,850%</w:t>
      </w:r>
    </w:p>
    <w:p>
      <w:r>
        <w:t>• Innovations: Generative AI, edge computing, cybersecurity platforms</w:t>
      </w:r>
    </w:p>
    <w:p>
      <w:r>
        <w:t>Source: FinanceCharts 5-Year Stock Performance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6" Type="http://schemas.openxmlformats.org/officeDocument/2006/relationships/webSettings" Target="webSettings.xml"/><Relationship Id="rId1" Type="http://schemas.openxmlformats.org/officeDocument/2006/relationships/customXml" Target="../customXml/item1.xml"/><Relationship Id="rId11" Type="http://schemas.openxmlformats.org/officeDocument/2006/relationships/customXml" Target="../customXml/item4.xml"/><Relationship Id="rId5" Type="http://schemas.openxmlformats.org/officeDocument/2006/relationships/settings" Target="settings.xml"/><Relationship Id="rId10" Type="http://schemas.openxmlformats.org/officeDocument/2006/relationships/customXml" Target="../customXml/item3.xml"/><Relationship Id="rId4" Type="http://schemas.microsoft.com/office/2007/relationships/stylesWithEffects" Target="stylesWithEffects.xml"/><Relationship Id="rId9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D9698786E7AFD49A7C5B6F6C3536AD6" ma:contentTypeVersion="10" ma:contentTypeDescription="Create a new document." ma:contentTypeScope="" ma:versionID="2b0e98ecace42f849c52b16f57443fdf">
  <xsd:schema xmlns:xsd="http://www.w3.org/2001/XMLSchema" xmlns:xs="http://www.w3.org/2001/XMLSchema" xmlns:p="http://schemas.microsoft.com/office/2006/metadata/properties" xmlns:ns2="1e5e0b89-4eaf-4aec-98b1-005de50b7075" xmlns:ns3="67d09dcd-d740-490a-ab85-a3a2439e26ef" targetNamespace="http://schemas.microsoft.com/office/2006/metadata/properties" ma:root="true" ma:fieldsID="f52a733de39108cbc25026e853274619" ns2:_="" ns3:_="">
    <xsd:import namespace="1e5e0b89-4eaf-4aec-98b1-005de50b7075"/>
    <xsd:import namespace="67d09dcd-d740-490a-ab85-a3a2439e26e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e5e0b89-4eaf-4aec-98b1-005de50b707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92bd8d5f-6187-4207-9dd1-6ddb9e37586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7d09dcd-d740-490a-ab85-a3a2439e26ef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9329b4aa-38f8-487b-825d-00407882bd28}" ma:internalName="TaxCatchAll" ma:showField="CatchAllData" ma:web="67d09dcd-d740-490a-ab85-a3a2439e26e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1e5e0b89-4eaf-4aec-98b1-005de50b7075">
      <Terms xmlns="http://schemas.microsoft.com/office/infopath/2007/PartnerControls"/>
    </lcf76f155ced4ddcb4097134ff3c332f>
    <TaxCatchAll xmlns="67d09dcd-d740-490a-ab85-a3a2439e26ef" xsi:nil="true"/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60FE2A45-CE78-4297-877D-F72C5578C92F}"/>
</file>

<file path=customXml/itemProps3.xml><?xml version="1.0" encoding="utf-8"?>
<ds:datastoreItem xmlns:ds="http://schemas.openxmlformats.org/officeDocument/2006/customXml" ds:itemID="{B89FAE50-1EAE-4422-B502-8E16CCF7B7C5}"/>
</file>

<file path=customXml/itemProps4.xml><?xml version="1.0" encoding="utf-8"?>
<ds:datastoreItem xmlns:ds="http://schemas.openxmlformats.org/officeDocument/2006/customXml" ds:itemID="{CC14E7BC-2BC5-4F1D-B5E6-08F112250730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0x010100DD9698786E7AFD49A7C5B6F6C3536AD6</vt:lpwstr>
  </property>
</Properties>
</file>