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Sustainability and Green Operations</w:t>
      </w:r>
    </w:p>
    <w:p>
      <w:r>
        <w:t>Type: Long-Term</w:t>
      </w:r>
    </w:p>
    <w:p>
      <w:r>
        <w:t>Timeline: Q1 2024 - Q4 2026</w:t>
      </w:r>
    </w:p>
    <w:p>
      <w:pPr>
        <w:pStyle w:val="Heading2"/>
      </w:pPr>
      <w:r>
        <w:t>Objectives</w:t>
      </w:r>
    </w:p>
    <w:p>
      <w:r>
        <w:t>- Reduce carbon footprint by 30%</w:t>
      </w:r>
    </w:p>
    <w:p>
      <w:r>
        <w:t>- Adopt sustainable supply chain practices</w:t>
      </w:r>
    </w:p>
    <w:p>
      <w:pPr>
        <w:pStyle w:val="Heading2"/>
      </w:pPr>
      <w:r>
        <w:t>Stakeholders</w:t>
      </w:r>
    </w:p>
    <w:p>
      <w:r>
        <w:t>- Facilities</w:t>
      </w:r>
    </w:p>
    <w:p>
      <w:r>
        <w:t>- Procurement</w:t>
      </w:r>
    </w:p>
    <w:p>
      <w:r>
        <w:t>- Executive Leadership</w:t>
      </w:r>
    </w:p>
    <w:p>
      <w:pPr>
        <w:pStyle w:val="Heading2"/>
      </w:pPr>
      <w:r>
        <w:t>Expected Outcomes</w:t>
      </w:r>
    </w:p>
    <w:p>
      <w:r>
        <w:t>- Improved ESG ratings</w:t>
      </w:r>
    </w:p>
    <w:p>
      <w:r>
        <w:t>- Cost savings through energy efficiency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14D898-23FE-42E7-B8FC-CB1AF86F2A45}"/>
</file>

<file path=customXml/itemProps3.xml><?xml version="1.0" encoding="utf-8"?>
<ds:datastoreItem xmlns:ds="http://schemas.openxmlformats.org/officeDocument/2006/customXml" ds:itemID="{F010746A-37D3-4CC8-BBAE-24441A38F79C}"/>
</file>

<file path=customXml/itemProps4.xml><?xml version="1.0" encoding="utf-8"?>
<ds:datastoreItem xmlns:ds="http://schemas.openxmlformats.org/officeDocument/2006/customXml" ds:itemID="{54D7C9D2-CDE4-43BD-B3BA-AF18E67860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