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Governance Framework</w:t>
      </w:r>
    </w:p>
    <w:p>
      <w:r>
        <w:t>Type: Short-Term</w:t>
      </w:r>
    </w:p>
    <w:p>
      <w:r>
        <w:t>Timeline: Q2 2024 - Q4 2024</w:t>
      </w:r>
    </w:p>
    <w:p>
      <w:pPr>
        <w:pStyle w:val="Heading2"/>
      </w:pPr>
      <w:r>
        <w:t>Objectives</w:t>
      </w:r>
    </w:p>
    <w:p>
      <w:r>
        <w:t>- Establish data ownership roles</w:t>
      </w:r>
    </w:p>
    <w:p>
      <w:r>
        <w:t>- Implement data quality standards</w:t>
      </w:r>
    </w:p>
    <w:p>
      <w:pPr>
        <w:pStyle w:val="Heading2"/>
      </w:pPr>
      <w:r>
        <w:t>Stakeholders</w:t>
      </w:r>
    </w:p>
    <w:p>
      <w:r>
        <w:t>- Data Office</w:t>
      </w:r>
    </w:p>
    <w:p>
      <w:r>
        <w:t>- Compliance</w:t>
      </w:r>
    </w:p>
    <w:p>
      <w:r>
        <w:t>- IT Security</w:t>
      </w:r>
    </w:p>
    <w:p>
      <w:pPr>
        <w:pStyle w:val="Heading2"/>
      </w:pPr>
      <w:r>
        <w:t>Expected Outcomes</w:t>
      </w:r>
    </w:p>
    <w:p>
      <w:r>
        <w:t>- Improved data accuracy</w:t>
      </w:r>
    </w:p>
    <w:p>
      <w:r>
        <w:t>- Regulatory 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316A99-41C9-4330-978C-B9DCB0A84FD3}"/>
</file>

<file path=customXml/itemProps3.xml><?xml version="1.0" encoding="utf-8"?>
<ds:datastoreItem xmlns:ds="http://schemas.openxmlformats.org/officeDocument/2006/customXml" ds:itemID="{5E420A44-BE8C-4B8B-B7EF-C362DCA1486E}"/>
</file>

<file path=customXml/itemProps4.xml><?xml version="1.0" encoding="utf-8"?>
<ds:datastoreItem xmlns:ds="http://schemas.openxmlformats.org/officeDocument/2006/customXml" ds:itemID="{12CBAEBE-477B-43D4-9E9E-DBCD70E975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