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 Triage Agent Research Outputs</w:t>
      </w:r>
    </w:p>
    <w:p>
      <w:pPr>
        <w:pStyle w:val="Heading1"/>
      </w:pPr>
      <w:r>
        <w:t>1. Renewable Energy Market Trends for 2025</w:t>
      </w:r>
    </w:p>
    <w:p>
      <w:pPr>
        <w:pStyle w:val="ListBullet"/>
      </w:pPr>
      <w:r>
        <w:t>**Key Trends:**</w:t>
      </w:r>
    </w:p>
    <w:p>
      <w:pPr>
        <w:pStyle w:val="ListBullet"/>
      </w:pPr>
      <w:r>
        <w:t>• Global renewable energy market projected to reach $1.8 trillion by 2025.</w:t>
      </w:r>
    </w:p>
    <w:p>
      <w:pPr>
        <w:pStyle w:val="ListBullet"/>
      </w:pPr>
      <w:r>
        <w:t>• Solar and wind continue to dominate new capacity additions.</w:t>
      </w:r>
    </w:p>
    <w:p>
      <w:pPr>
        <w:pStyle w:val="ListBullet"/>
      </w:pPr>
      <w:r>
        <w:t>• Battery storage expected to grow 60% YoY.</w:t>
      </w:r>
    </w:p>
    <w:p>
      <w:pPr>
        <w:pStyle w:val="ListBullet"/>
      </w:pPr>
      <w:r>
        <w:t>• AI integration in grid optimization and predictive maintenance.</w:t>
      </w:r>
    </w:p>
    <w:p>
      <w:pPr>
        <w:pStyle w:val="ListBullet"/>
      </w:pPr>
      <w:r>
        <w:t>• Government incentives accelerating clean energy adoption.</w:t>
      </w:r>
    </w:p>
    <w:p>
      <w:r>
        <w:t>**Notable Players:** Contoso Energy, GreenTech Inc., SolarNova, WindWorks, EcoGrid.</w:t>
      </w:r>
    </w:p>
    <w:p>
      <w:r>
        <w:t>**Sources:**</w:t>
      </w:r>
    </w:p>
    <w:p>
      <w:r>
        <w:t>• https://example.com/renewable-trends-2025</w:t>
      </w:r>
    </w:p>
    <w:p>
      <w:r>
        <w:t>• https://example.com/cleantech-forecast</w:t>
      </w:r>
    </w:p>
    <w:p>
      <w:pPr>
        <w:pStyle w:val="Heading1"/>
      </w:pPr>
      <w:r>
        <w:t>2. Executive Summary - Q2 Customer Sentiment Report</w:t>
      </w:r>
    </w:p>
    <w:p>
      <w:r>
        <w:t>In Q2 2025, Contoso Corp observed a 5% increase in overall customer satisfaction, driven by improvements in onboarding and support response times. Enterprise clients reported higher satisfaction levels, while SMBs expressed concerns over billing clarity. The Net Promoter Score rose from 42 to 47, with notable gains in the EMEA region. Sentiment analysis highlighted recurring themes around product usability and feature requests. Strategic recommendations include enhancing self-service tools, refining billing workflows, and expanding multilingual support to improve global reach.</w:t>
      </w:r>
    </w:p>
    <w:p>
      <w:pPr>
        <w:pStyle w:val="Heading1"/>
      </w:pPr>
      <w:r>
        <w:t>3. Revenue Growth Figures - Q2 2025</w:t>
      </w:r>
    </w:p>
    <w:tbl>
      <w:tblPr>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Revenue Growth</w:t>
            </w:r>
          </w:p>
        </w:tc>
        <w:tc>
          <w:tcPr>
            <w:tcW w:type="dxa" w:w="2880"/>
          </w:tcPr>
          <w:p>
            <w:r>
              <w:t>Source</w:t>
            </w:r>
          </w:p>
        </w:tc>
      </w:tr>
      <w:tr>
        <w:tc>
          <w:tcPr>
            <w:tcW w:type="dxa" w:w="2880"/>
          </w:tcPr>
          <w:p>
            <w:r>
              <w:t>Contoso Corp</w:t>
            </w:r>
          </w:p>
        </w:tc>
        <w:tc>
          <w:tcPr>
            <w:tcW w:type="dxa" w:w="2880"/>
          </w:tcPr>
          <w:p>
            <w:r>
              <w:t>+9.2%</w:t>
            </w:r>
          </w:p>
        </w:tc>
        <w:tc>
          <w:tcPr>
            <w:tcW w:type="dxa" w:w="2880"/>
          </w:tcPr>
          <w:p>
            <w:r>
              <w:t>https://example.com/contoso-q2</w:t>
            </w:r>
          </w:p>
        </w:tc>
      </w:tr>
      <w:tr>
        <w:tc>
          <w:tcPr>
            <w:tcW w:type="dxa" w:w="2880"/>
          </w:tcPr>
          <w:p>
            <w:r>
              <w:t>Fabrikam Ltd.</w:t>
            </w:r>
          </w:p>
        </w:tc>
        <w:tc>
          <w:tcPr>
            <w:tcW w:type="dxa" w:w="2880"/>
          </w:tcPr>
          <w:p>
            <w:r>
              <w:t>+7.5%</w:t>
            </w:r>
          </w:p>
        </w:tc>
        <w:tc>
          <w:tcPr>
            <w:tcW w:type="dxa" w:w="2880"/>
          </w:tcPr>
          <w:p>
            <w:r>
              <w:t>https://example.com/fabrikam-q2</w:t>
            </w:r>
          </w:p>
        </w:tc>
      </w:tr>
      <w:tr>
        <w:tc>
          <w:tcPr>
            <w:tcW w:type="dxa" w:w="2880"/>
          </w:tcPr>
          <w:p>
            <w:r>
              <w:t>Northwind Traders</w:t>
            </w:r>
          </w:p>
        </w:tc>
        <w:tc>
          <w:tcPr>
            <w:tcW w:type="dxa" w:w="2880"/>
          </w:tcPr>
          <w:p>
            <w:r>
              <w:t>+6.8%</w:t>
            </w:r>
          </w:p>
        </w:tc>
        <w:tc>
          <w:tcPr>
            <w:tcW w:type="dxa" w:w="2880"/>
          </w:tcPr>
          <w:p>
            <w:r>
              <w:t>https://example.com/northwind-q2</w:t>
            </w:r>
          </w:p>
        </w:tc>
      </w:tr>
      <w:tr>
        <w:tc>
          <w:tcPr>
            <w:tcW w:type="dxa" w:w="2880"/>
          </w:tcPr>
          <w:p>
            <w:r>
              <w:t>Adventure Works</w:t>
            </w:r>
          </w:p>
        </w:tc>
        <w:tc>
          <w:tcPr>
            <w:tcW w:type="dxa" w:w="2880"/>
          </w:tcPr>
          <w:p>
            <w:r>
              <w:t>+11.0%</w:t>
            </w:r>
          </w:p>
        </w:tc>
        <w:tc>
          <w:tcPr>
            <w:tcW w:type="dxa" w:w="2880"/>
          </w:tcPr>
          <w:p>
            <w:r>
              <w:t>https://example.com/adventure-q2</w:t>
            </w:r>
          </w:p>
        </w:tc>
      </w:tr>
      <w:tr>
        <w:tc>
          <w:tcPr>
            <w:tcW w:type="dxa" w:w="2880"/>
          </w:tcPr>
          <w:p>
            <w:r>
              <w:t>Tailspin Toys</w:t>
            </w:r>
          </w:p>
        </w:tc>
        <w:tc>
          <w:tcPr>
            <w:tcW w:type="dxa" w:w="2880"/>
          </w:tcPr>
          <w:p>
            <w:r>
              <w:t>+5.4%</w:t>
            </w:r>
          </w:p>
        </w:tc>
        <w:tc>
          <w:tcPr>
            <w:tcW w:type="dxa" w:w="2880"/>
          </w:tcPr>
          <w:p>
            <w:r>
              <w:t>https://example.com/tailspin-q2</w:t>
            </w:r>
          </w:p>
        </w:tc>
      </w:tr>
    </w:tbl>
    <w:p>
      <w:pPr>
        <w:pStyle w:val="Heading1"/>
      </w:pPr>
      <w:r>
        <w:t>4. Curated AI Governance Resources</w:t>
      </w:r>
    </w:p>
    <w:p>
      <w:pPr>
        <w:pStyle w:val="ListBullet"/>
      </w:pPr>
      <w:r>
        <w:t>• AI Governance Framework by Contoso Research</w:t>
        <w:br/>
        <w:t xml:space="preserve">  https://example.com/contoso-ai</w:t>
        <w:br/>
        <w:t xml:space="preserve">  Outlines internal AI risk management and compliance.</w:t>
      </w:r>
    </w:p>
    <w:p>
      <w:pPr>
        <w:pStyle w:val="ListBullet"/>
      </w:pPr>
      <w:r>
        <w:t>• OECD AI Principles</w:t>
        <w:br/>
        <w:t xml:space="preserve">  https://oecd.ai/en</w:t>
        <w:br/>
        <w:t xml:space="preserve">  Global standards for trustworthy AI.</w:t>
      </w:r>
    </w:p>
    <w:p>
      <w:pPr>
        <w:pStyle w:val="ListBullet"/>
      </w:pPr>
      <w:r>
        <w:t>• AI Ethics Toolkit by TechPolicy</w:t>
        <w:br/>
        <w:t xml:space="preserve">  https://example.com/ethics-toolkit</w:t>
        <w:br/>
        <w:t xml:space="preserve">  Practical tools for ethical AI deployment.</w:t>
      </w:r>
    </w:p>
    <w:p>
      <w:pPr>
        <w:pStyle w:val="ListBullet"/>
      </w:pPr>
      <w:r>
        <w:t>• Responsible AI Guide by AI Now Institute</w:t>
        <w:br/>
        <w:t xml:space="preserve">  https://example.com/ai-now</w:t>
        <w:br/>
        <w:t xml:space="preserve">  Focuses on fairness, transparency, and accountability.</w:t>
      </w:r>
    </w:p>
    <w:p>
      <w:pPr>
        <w:pStyle w:val="ListBullet"/>
      </w:pPr>
      <w:r>
        <w:t>• AI Governance Playbook by FutureGov</w:t>
        <w:br/>
        <w:t xml:space="preserve">  https://example.com/futuregov</w:t>
        <w:br/>
        <w:t xml:space="preserve">  Policy recommendations for public sector AI.</w:t>
      </w:r>
    </w:p>
    <w:p>
      <w:pPr>
        <w:pStyle w:val="Heading1"/>
      </w:pPr>
      <w:r>
        <w:t>5. WHO vs. CDC Pandemic Response Briefs</w:t>
      </w:r>
    </w:p>
    <w:p>
      <w:r>
        <w:t>**Comparison Table:**</w:t>
      </w:r>
    </w:p>
    <w:tbl>
      <w:tblPr>
        <w:tblW w:type="auto" w:w="0"/>
        <w:tblLook w:firstColumn="1" w:firstRow="1" w:lastColumn="0" w:lastRow="0" w:noHBand="0" w:noVBand="1" w:val="04A0"/>
      </w:tblPr>
      <w:tblGrid>
        <w:gridCol w:w="2160"/>
        <w:gridCol w:w="2160"/>
        <w:gridCol w:w="2160"/>
        <w:gridCol w:w="2160"/>
      </w:tblGrid>
      <w:tr>
        <w:tc>
          <w:tcPr>
            <w:tcW w:type="dxa" w:w="2160"/>
          </w:tcPr>
          <w:p>
            <w:r>
              <w:t>Aspect</w:t>
            </w:r>
          </w:p>
        </w:tc>
        <w:tc>
          <w:tcPr>
            <w:tcW w:type="dxa" w:w="2160"/>
          </w:tcPr>
          <w:p>
            <w:r>
              <w:t>WHO Brief</w:t>
            </w:r>
          </w:p>
        </w:tc>
        <w:tc>
          <w:tcPr>
            <w:tcW w:type="dxa" w:w="2160"/>
          </w:tcPr>
          <w:p>
            <w:r>
              <w:t>CDC Brief</w:t>
            </w:r>
          </w:p>
        </w:tc>
        <w:tc>
          <w:tcPr>
            <w:tcW w:type="dxa" w:w="2160"/>
          </w:tcPr>
          <w:p>
            <w:r>
              <w:t>Commentary</w:t>
            </w:r>
          </w:p>
        </w:tc>
      </w:tr>
      <w:tr>
        <w:tc>
          <w:tcPr>
            <w:tcW w:type="dxa" w:w="2160"/>
          </w:tcPr>
          <w:p>
            <w:r>
              <w:t>Vaccination Strategy</w:t>
            </w:r>
          </w:p>
        </w:tc>
        <w:tc>
          <w:tcPr>
            <w:tcW w:type="dxa" w:w="2160"/>
          </w:tcPr>
          <w:p>
            <w:r>
              <w:t>Global equity via COVAX</w:t>
            </w:r>
          </w:p>
        </w:tc>
        <w:tc>
          <w:tcPr>
            <w:tcW w:type="dxa" w:w="2160"/>
          </w:tcPr>
          <w:p>
            <w:r>
              <w:t>National phased rollout</w:t>
            </w:r>
          </w:p>
        </w:tc>
        <w:tc>
          <w:tcPr>
            <w:tcW w:type="dxa" w:w="2160"/>
          </w:tcPr>
          <w:p>
            <w:r>
              <w:t>WHO emphasizes global fairness; CDC focuses on domestic logistics.</w:t>
            </w:r>
          </w:p>
        </w:tc>
      </w:tr>
      <w:tr>
        <w:tc>
          <w:tcPr>
            <w:tcW w:type="dxa" w:w="2160"/>
          </w:tcPr>
          <w:p>
            <w:r>
              <w:t>Data Sharing</w:t>
            </w:r>
          </w:p>
        </w:tc>
        <w:tc>
          <w:tcPr>
            <w:tcW w:type="dxa" w:w="2160"/>
          </w:tcPr>
          <w:p>
            <w:r>
              <w:t>Centralized global reporting</w:t>
            </w:r>
          </w:p>
        </w:tc>
        <w:tc>
          <w:tcPr>
            <w:tcW w:type="dxa" w:w="2160"/>
          </w:tcPr>
          <w:p>
            <w:r>
              <w:t>State-level autonomy</w:t>
            </w:r>
          </w:p>
        </w:tc>
        <w:tc>
          <w:tcPr>
            <w:tcW w:type="dxa" w:w="2160"/>
          </w:tcPr>
          <w:p>
            <w:r>
              <w:t>WHO promotes transparency; CDC allows local flexibility.</w:t>
            </w:r>
          </w:p>
        </w:tc>
      </w:tr>
      <w:tr>
        <w:tc>
          <w:tcPr>
            <w:tcW w:type="dxa" w:w="2160"/>
          </w:tcPr>
          <w:p>
            <w:r>
              <w:t>Public Messaging</w:t>
            </w:r>
          </w:p>
        </w:tc>
        <w:tc>
          <w:tcPr>
            <w:tcW w:type="dxa" w:w="2160"/>
          </w:tcPr>
          <w:p>
            <w:r>
              <w:t>Unified multilingual campaigns</w:t>
            </w:r>
          </w:p>
        </w:tc>
        <w:tc>
          <w:tcPr>
            <w:tcW w:type="dxa" w:w="2160"/>
          </w:tcPr>
          <w:p>
            <w:r>
              <w:t>Localized messaging</w:t>
            </w:r>
          </w:p>
        </w:tc>
        <w:tc>
          <w:tcPr>
            <w:tcW w:type="dxa" w:w="2160"/>
          </w:tcPr>
          <w:p>
            <w:r>
              <w:t>WHO aims for consistency; CDC adapts to regional needs.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9698786E7AFD49A7C5B6F6C3536AD6" ma:contentTypeVersion="10" ma:contentTypeDescription="Create a new document." ma:contentTypeScope="" ma:versionID="2b0e98ecace42f849c52b16f57443fdf">
  <xsd:schema xmlns:xsd="http://www.w3.org/2001/XMLSchema" xmlns:xs="http://www.w3.org/2001/XMLSchema" xmlns:p="http://schemas.microsoft.com/office/2006/metadata/properties" xmlns:ns2="1e5e0b89-4eaf-4aec-98b1-005de50b7075" xmlns:ns3="67d09dcd-d740-490a-ab85-a3a2439e26ef" targetNamespace="http://schemas.microsoft.com/office/2006/metadata/properties" ma:root="true" ma:fieldsID="f52a733de39108cbc25026e853274619" ns2:_="" ns3:_="">
    <xsd:import namespace="1e5e0b89-4eaf-4aec-98b1-005de50b7075"/>
    <xsd:import namespace="67d09dcd-d740-490a-ab85-a3a2439e26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e0b89-4eaf-4aec-98b1-005de50b7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bd8d5f-6187-4207-9dd1-6ddb9e375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d09dcd-d740-490a-ab85-a3a2439e26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29b4aa-38f8-487b-825d-00407882bd28}" ma:internalName="TaxCatchAll" ma:showField="CatchAllData" ma:web="67d09dcd-d740-490a-ab85-a3a2439e26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5e0b89-4eaf-4aec-98b1-005de50b7075">
      <Terms xmlns="http://schemas.microsoft.com/office/infopath/2007/PartnerControls"/>
    </lcf76f155ced4ddcb4097134ff3c332f>
    <TaxCatchAll xmlns="67d09dcd-d740-490a-ab85-a3a2439e26e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2118F4C-420F-480B-BC24-5EF2E7E2850E}"/>
</file>

<file path=customXml/itemProps3.xml><?xml version="1.0" encoding="utf-8"?>
<ds:datastoreItem xmlns:ds="http://schemas.openxmlformats.org/officeDocument/2006/customXml" ds:itemID="{8AFF9BF6-3DE5-4853-80B5-ED62BB3ED866}"/>
</file>

<file path=customXml/itemProps4.xml><?xml version="1.0" encoding="utf-8"?>
<ds:datastoreItem xmlns:ds="http://schemas.openxmlformats.org/officeDocument/2006/customXml" ds:itemID="{D2879CB1-078A-4805-BCD8-430AE1A9760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0x010100DD9698786E7AFD49A7C5B6F6C3536AD6</vt:lpwstr>
  </property>
</Properties>
</file>