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09E"/>
        </w:rPr>
        <w:t>Contoso Corporation - Employee Leave Policy</w:t>
      </w:r>
    </w:p>
    <w:p>
      <w:r>
        <w:rPr>
          <w:sz w:val="22"/>
        </w:rPr>
        <w:t>Policy ID: HR-POL-003  |  Effective: March 1, 2024  |  Owner: People &amp; Culture</w:t>
      </w:r>
    </w:p>
    <w:p/>
    <w:p>
      <w:pPr>
        <w:pStyle w:val="Heading2"/>
      </w:pPr>
      <w:r>
        <w:rPr>
          <w:color w:val="00509E"/>
        </w:rPr>
        <w:t>1. Purpose</w:t>
      </w:r>
    </w:p>
    <w:p>
      <w:r>
        <w:rPr>
          <w:sz w:val="22"/>
        </w:rPr>
        <w:t>This policy outlines the types of leave available to Contoso employees, eligibility criteria, accrual rates, approval processes, and obligations during leave.</w:t>
      </w:r>
    </w:p>
    <w:p>
      <w:pPr>
        <w:pStyle w:val="Heading2"/>
      </w:pPr>
      <w:r>
        <w:rPr>
          <w:color w:val="00509E"/>
        </w:rPr>
        <w:t>2. Annual Leave (PTO)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Years of Service</w:t>
            </w:r>
          </w:p>
        </w:tc>
        <w:tc>
          <w:tcPr>
            <w:tcW w:type="dxa" w:w="2880"/>
          </w:tcPr>
          <w:p>
            <w:r>
              <w:t>PTO Days/Year</w:t>
            </w:r>
          </w:p>
        </w:tc>
        <w:tc>
          <w:tcPr>
            <w:tcW w:type="dxa" w:w="2880"/>
          </w:tcPr>
          <w:p>
            <w:r>
              <w:t>Max Carryover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15 days</w:t>
            </w:r>
          </w:p>
        </w:tc>
        <w:tc>
          <w:tcPr>
            <w:tcW w:type="dxa" w:w="2880"/>
          </w:tcPr>
          <w:p>
            <w:r>
              <w:t>5 days</w:t>
            </w:r>
          </w:p>
        </w:tc>
      </w:tr>
      <w:tr>
        <w:tc>
          <w:tcPr>
            <w:tcW w:type="dxa" w:w="2880"/>
          </w:tcPr>
          <w:p>
            <w:r>
              <w:t>3-5 years</w:t>
            </w:r>
          </w:p>
        </w:tc>
        <w:tc>
          <w:tcPr>
            <w:tcW w:type="dxa" w:w="2880"/>
          </w:tcPr>
          <w:p>
            <w:r>
              <w:t>20 days</w:t>
            </w:r>
          </w:p>
        </w:tc>
        <w:tc>
          <w:tcPr>
            <w:tcW w:type="dxa" w:w="2880"/>
          </w:tcPr>
          <w:p>
            <w:r>
              <w:t>10 days</w:t>
            </w:r>
          </w:p>
        </w:tc>
      </w:tr>
      <w:tr>
        <w:tc>
          <w:tcPr>
            <w:tcW w:type="dxa" w:w="2880"/>
          </w:tcPr>
          <w:p>
            <w:r>
              <w:t>6-10 years</w:t>
            </w:r>
          </w:p>
        </w:tc>
        <w:tc>
          <w:tcPr>
            <w:tcW w:type="dxa" w:w="2880"/>
          </w:tcPr>
          <w:p>
            <w:r>
              <w:t>25 days</w:t>
            </w:r>
          </w:p>
        </w:tc>
        <w:tc>
          <w:tcPr>
            <w:tcW w:type="dxa" w:w="2880"/>
          </w:tcPr>
          <w:p>
            <w:r>
              <w:t>10 days</w:t>
            </w:r>
          </w:p>
        </w:tc>
      </w:tr>
      <w:tr>
        <w:tc>
          <w:tcPr>
            <w:tcW w:type="dxa" w:w="2880"/>
          </w:tcPr>
          <w:p>
            <w:r>
              <w:t>10+ years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15 days</w:t>
            </w:r>
          </w:p>
        </w:tc>
      </w:tr>
    </w:tbl>
    <w:p/>
    <w:p>
      <w:pPr>
        <w:pStyle w:val="Heading2"/>
      </w:pPr>
      <w:r>
        <w:rPr>
          <w:color w:val="00509E"/>
        </w:rPr>
        <w:t>3. Sick Leave</w:t>
      </w:r>
    </w:p>
    <w:p>
      <w:r>
        <w:rPr>
          <w:sz w:val="22"/>
        </w:rPr>
        <w:t>Employees accrue 1 sick day per month, up to 10 sick days per year. Sick leave does not carry over. Documentation from a medical professional is required for absences exceeding 3 consecutive days.</w:t>
      </w:r>
    </w:p>
    <w:p>
      <w:pPr>
        <w:pStyle w:val="Heading2"/>
      </w:pPr>
      <w:r>
        <w:rPr>
          <w:color w:val="00509E"/>
        </w:rPr>
        <w:t>4. Parental Leave</w:t>
      </w:r>
    </w:p>
    <w:p>
      <w:pPr>
        <w:pStyle w:val="ListBullet"/>
      </w:pPr>
      <w:r>
        <w:rPr>
          <w:sz w:val="22"/>
        </w:rPr>
        <w:t>Primary caregiver: 16 weeks fully paid</w:t>
      </w:r>
    </w:p>
    <w:p>
      <w:pPr>
        <w:pStyle w:val="ListBullet"/>
      </w:pPr>
      <w:r>
        <w:rPr>
          <w:sz w:val="22"/>
        </w:rPr>
        <w:t>Secondary caregiver: 6 weeks fully paid</w:t>
      </w:r>
    </w:p>
    <w:p>
      <w:pPr>
        <w:pStyle w:val="ListBullet"/>
      </w:pPr>
      <w:r>
        <w:rPr>
          <w:sz w:val="22"/>
        </w:rPr>
        <w:t>Adoption or foster placement: same as birth parent leave</w:t>
      </w:r>
    </w:p>
    <w:p>
      <w:pPr>
        <w:pStyle w:val="ListBullet"/>
      </w:pPr>
      <w:r>
        <w:rPr>
          <w:sz w:val="22"/>
        </w:rPr>
        <w:t>Must be taken within 12 months of birth/placement</w:t>
      </w:r>
    </w:p>
    <w:p>
      <w:pPr>
        <w:pStyle w:val="Heading2"/>
      </w:pPr>
      <w:r>
        <w:rPr>
          <w:color w:val="00509E"/>
        </w:rPr>
        <w:t>5. Bereavement Leave</w:t>
      </w:r>
    </w:p>
    <w:p>
      <w:pPr>
        <w:pStyle w:val="ListBullet"/>
      </w:pPr>
      <w:r>
        <w:rPr>
          <w:sz w:val="22"/>
        </w:rPr>
        <w:t>Immediate family (spouse, child, parent, sibling): up to 5 days</w:t>
      </w:r>
    </w:p>
    <w:p>
      <w:pPr>
        <w:pStyle w:val="ListBullet"/>
      </w:pPr>
      <w:r>
        <w:rPr>
          <w:sz w:val="22"/>
        </w:rPr>
        <w:t>Extended family (grandparent, in-law): up to 3 days</w:t>
      </w:r>
    </w:p>
    <w:p>
      <w:pPr>
        <w:pStyle w:val="ListBullet"/>
      </w:pPr>
      <w:r>
        <w:rPr>
          <w:sz w:val="22"/>
        </w:rPr>
        <w:t>Close friend or colleague (manager discretion): up to 1 day</w:t>
      </w:r>
    </w:p>
    <w:p>
      <w:pPr>
        <w:pStyle w:val="Heading2"/>
      </w:pPr>
      <w:r>
        <w:rPr>
          <w:color w:val="00509E"/>
        </w:rPr>
        <w:t>6. FMLA</w:t>
      </w:r>
    </w:p>
    <w:p>
      <w:r>
        <w:rPr>
          <w:sz w:val="22"/>
        </w:rPr>
        <w:t>Employees with 12 months tenure and 1,250 hours worked are eligible for up to 12 weeks of unpaid, job-protected FMLA leave for qualifying reasons. Contact HR to initiate an FMLA request.</w:t>
      </w:r>
    </w:p>
    <w:p>
      <w:pPr>
        <w:pStyle w:val="Heading2"/>
      </w:pPr>
      <w:r>
        <w:rPr>
          <w:color w:val="00509E"/>
        </w:rPr>
        <w:t>7. Leave Request Process</w:t>
      </w:r>
    </w:p>
    <w:p>
      <w:pPr>
        <w:pStyle w:val="ListBullet"/>
      </w:pPr>
      <w:r>
        <w:rPr>
          <w:sz w:val="22"/>
        </w:rPr>
        <w:t>Submit requests through Workday at least 2 weeks in advance for planned leave</w:t>
      </w:r>
    </w:p>
    <w:p>
      <w:pPr>
        <w:pStyle w:val="ListBullet"/>
      </w:pPr>
      <w:r>
        <w:rPr>
          <w:sz w:val="22"/>
        </w:rPr>
        <w:t>For unplanned leave, notify your manager and HR by 9:00 AM on the day of absence</w:t>
      </w:r>
    </w:p>
    <w:p>
      <w:pPr>
        <w:pStyle w:val="ListBullet"/>
      </w:pPr>
      <w:r>
        <w:rPr>
          <w:sz w:val="22"/>
        </w:rPr>
        <w:t>Manager approval required for PTO; HR approval for FMLA and parental leave</w:t>
      </w:r>
    </w:p>
    <w:p>
      <w:pPr>
        <w:pStyle w:val="Heading2"/>
      </w:pPr>
      <w:r>
        <w:rPr>
          <w:color w:val="00509E"/>
        </w:rPr>
        <w:t>8. Public Holidays</w:t>
      </w:r>
    </w:p>
    <w:p>
      <w:r>
        <w:rPr>
          <w:sz w:val="22"/>
        </w:rPr>
        <w:t>Contoso observes 11 federal holidays plus 2 floating holidays per year. A full schedule is published on the HR intranet page each January.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