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09E"/>
        </w:rPr>
        <w:t>Contoso Corporation - Employee Travel and Reimbursement Policy</w:t>
      </w:r>
    </w:p>
    <w:p>
      <w:r>
        <w:rPr>
          <w:sz w:val="22"/>
        </w:rPr>
        <w:t>Policy ID: HR-POL-007  |  Effective: January 1, 2025  |  Owner: Finance &amp; People &amp; Culture</w:t>
      </w:r>
    </w:p>
    <w:p/>
    <w:p>
      <w:pPr>
        <w:pStyle w:val="Heading2"/>
      </w:pPr>
      <w:r>
        <w:rPr>
          <w:color w:val="00509E"/>
        </w:rPr>
        <w:t>1. Scope</w:t>
      </w:r>
    </w:p>
    <w:p>
      <w:r>
        <w:rPr>
          <w:sz w:val="22"/>
        </w:rPr>
        <w:t>Applies to all Contoso employees who travel on company business. All travel must be pre-approved by a manager and booked through Contoso's preferred travel portal (Concur).</w:t>
      </w:r>
    </w:p>
    <w:p>
      <w:pPr>
        <w:pStyle w:val="Heading2"/>
      </w:pPr>
      <w:r>
        <w:rPr>
          <w:color w:val="00509E"/>
        </w:rPr>
        <w:t>2. Booking Requirements</w:t>
      </w:r>
    </w:p>
    <w:p>
      <w:pPr>
        <w:pStyle w:val="ListBullet"/>
      </w:pPr>
      <w:r>
        <w:rPr>
          <w:sz w:val="22"/>
        </w:rPr>
        <w:t>Flights must be booked at least 14 days in advance when possible</w:t>
      </w:r>
    </w:p>
    <w:p>
      <w:pPr>
        <w:pStyle w:val="ListBullet"/>
      </w:pPr>
      <w:r>
        <w:rPr>
          <w:sz w:val="22"/>
        </w:rPr>
        <w:t>Economy class required for flights under 6 hours; business class for longer international flights requires VP approval</w:t>
      </w:r>
    </w:p>
    <w:p>
      <w:pPr>
        <w:pStyle w:val="ListBullet"/>
      </w:pPr>
      <w:r>
        <w:rPr>
          <w:sz w:val="22"/>
        </w:rPr>
        <w:t>Use Contoso preferred hotel partners for discounted rates</w:t>
      </w:r>
    </w:p>
    <w:p>
      <w:pPr>
        <w:pStyle w:val="ListBullet"/>
      </w:pPr>
      <w:r>
        <w:rPr>
          <w:sz w:val="22"/>
        </w:rPr>
        <w:t>Car rentals: mid-size or compact only; decline CDW coverage (covered by corporate card)</w:t>
      </w:r>
    </w:p>
    <w:p>
      <w:pPr>
        <w:pStyle w:val="Heading2"/>
      </w:pPr>
      <w:r>
        <w:rPr>
          <w:color w:val="00509E"/>
        </w:rPr>
        <w:t>3. Per Diem Rates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Per Diem (USD)</w:t>
            </w:r>
          </w:p>
        </w:tc>
      </w:tr>
      <w:tr>
        <w:tc>
          <w:tcPr>
            <w:tcW w:type="dxa" w:w="4320"/>
          </w:tcPr>
          <w:p>
            <w:r>
              <w:t>Domestic - Standard</w:t>
            </w:r>
          </w:p>
        </w:tc>
        <w:tc>
          <w:tcPr>
            <w:tcW w:type="dxa" w:w="4320"/>
          </w:tcPr>
          <w:p>
            <w:r>
              <w:t>$75</w:t>
            </w:r>
          </w:p>
        </w:tc>
      </w:tr>
      <w:tr>
        <w:tc>
          <w:tcPr>
            <w:tcW w:type="dxa" w:w="4320"/>
          </w:tcPr>
          <w:p>
            <w:r>
              <w:t>Domestic - High Cost (NYC, SF, DC)</w:t>
            </w:r>
          </w:p>
        </w:tc>
        <w:tc>
          <w:tcPr>
            <w:tcW w:type="dxa" w:w="4320"/>
          </w:tcPr>
          <w:p>
            <w:r>
              <w:t>$95</w:t>
            </w:r>
          </w:p>
        </w:tc>
      </w:tr>
      <w:tr>
        <w:tc>
          <w:tcPr>
            <w:tcW w:type="dxa" w:w="4320"/>
          </w:tcPr>
          <w:p>
            <w:r>
              <w:t>International - Standard</w:t>
            </w:r>
          </w:p>
        </w:tc>
        <w:tc>
          <w:tcPr>
            <w:tcW w:type="dxa" w:w="4320"/>
          </w:tcPr>
          <w:p>
            <w:r>
              <w:t>$100</w:t>
            </w:r>
          </w:p>
        </w:tc>
      </w:tr>
      <w:tr>
        <w:tc>
          <w:tcPr>
            <w:tcW w:type="dxa" w:w="4320"/>
          </w:tcPr>
          <w:p>
            <w:r>
              <w:t>International - High Cost</w:t>
            </w:r>
          </w:p>
        </w:tc>
        <w:tc>
          <w:tcPr>
            <w:tcW w:type="dxa" w:w="4320"/>
          </w:tcPr>
          <w:p>
            <w:r>
              <w:t>$150</w:t>
            </w:r>
          </w:p>
        </w:tc>
      </w:tr>
    </w:tbl>
    <w:p/>
    <w:p>
      <w:pPr>
        <w:pStyle w:val="Heading2"/>
      </w:pPr>
      <w:r>
        <w:rPr>
          <w:color w:val="00509E"/>
        </w:rPr>
        <w:t>4. Hotel Limits (per night, excl. taxes)</w:t>
      </w:r>
    </w:p>
    <w:p>
      <w:pPr>
        <w:pStyle w:val="ListBullet"/>
      </w:pPr>
      <w:r>
        <w:rPr>
          <w:sz w:val="22"/>
        </w:rPr>
        <w:t>Domestic standard: $175/night</w:t>
      </w:r>
    </w:p>
    <w:p>
      <w:pPr>
        <w:pStyle w:val="ListBullet"/>
      </w:pPr>
      <w:r>
        <w:rPr>
          <w:sz w:val="22"/>
        </w:rPr>
        <w:t>Domestic high-cost cities (NYC, SF, Boston, DC): $275/night</w:t>
      </w:r>
    </w:p>
    <w:p>
      <w:pPr>
        <w:pStyle w:val="ListBullet"/>
      </w:pPr>
      <w:r>
        <w:rPr>
          <w:sz w:val="22"/>
        </w:rPr>
        <w:t>International standard: $200/night</w:t>
      </w:r>
    </w:p>
    <w:p>
      <w:pPr>
        <w:pStyle w:val="ListBullet"/>
      </w:pPr>
      <w:r>
        <w:rPr>
          <w:sz w:val="22"/>
        </w:rPr>
        <w:t>International high-cost: $300/night</w:t>
      </w:r>
    </w:p>
    <w:p>
      <w:r>
        <w:rPr>
          <w:sz w:val="22"/>
        </w:rPr>
        <w:t>Rates exceeding limits require prior Director approval.</w:t>
      </w:r>
    </w:p>
    <w:p>
      <w:pPr>
        <w:pStyle w:val="Heading2"/>
      </w:pPr>
      <w:r>
        <w:rPr>
          <w:color w:val="00509E"/>
        </w:rPr>
        <w:t>5. Expense Submission</w:t>
      </w:r>
    </w:p>
    <w:p>
      <w:pPr>
        <w:pStyle w:val="ListBullet"/>
      </w:pPr>
      <w:r>
        <w:rPr>
          <w:sz w:val="22"/>
        </w:rPr>
        <w:t>Submit all expenses in Concur within 30 days</w:t>
      </w:r>
    </w:p>
    <w:p>
      <w:pPr>
        <w:pStyle w:val="ListBullet"/>
      </w:pPr>
      <w:r>
        <w:rPr>
          <w:sz w:val="22"/>
        </w:rPr>
        <w:t>Receipts required for all expenses over $25</w:t>
      </w:r>
    </w:p>
    <w:p>
      <w:pPr>
        <w:pStyle w:val="ListBullet"/>
      </w:pPr>
      <w:r>
        <w:rPr>
          <w:sz w:val="22"/>
        </w:rPr>
        <w:t>Reimbursement processed with the next bi-weekly payroll cycle</w:t>
      </w:r>
    </w:p>
    <w:p>
      <w:pPr>
        <w:pStyle w:val="Heading2"/>
      </w:pPr>
      <w:r>
        <w:rPr>
          <w:color w:val="00509E"/>
        </w:rPr>
        <w:t>6. Non-Reimbursable Expenses</w:t>
      </w:r>
    </w:p>
    <w:p>
      <w:pPr>
        <w:pStyle w:val="ListBullet"/>
      </w:pPr>
      <w:r>
        <w:rPr>
          <w:sz w:val="22"/>
        </w:rPr>
        <w:t>Alcohol (unless approved client entertainment)</w:t>
      </w:r>
    </w:p>
    <w:p>
      <w:pPr>
        <w:pStyle w:val="ListBullet"/>
      </w:pPr>
      <w:r>
        <w:rPr>
          <w:sz w:val="22"/>
        </w:rPr>
        <w:t>Personal entertainment (movies, gym, spa)</w:t>
      </w:r>
    </w:p>
    <w:p>
      <w:pPr>
        <w:pStyle w:val="ListBullet"/>
      </w:pPr>
      <w:r>
        <w:rPr>
          <w:sz w:val="22"/>
        </w:rPr>
        <w:t>Traffic fines or parking violations</w:t>
      </w:r>
    </w:p>
    <w:p>
      <w:pPr>
        <w:pStyle w:val="ListBullet"/>
      </w:pPr>
      <w:r>
        <w:rPr>
          <w:sz w:val="22"/>
        </w:rPr>
        <w:t>Upgrades not approved in advance</w:t>
      </w:r>
    </w:p>
    <w:p>
      <w:pPr>
        <w:pStyle w:val="Heading2"/>
      </w:pPr>
      <w:r>
        <w:rPr>
          <w:color w:val="00509E"/>
        </w:rPr>
        <w:t>7. Corporate Card Policy</w:t>
      </w:r>
    </w:p>
    <w:p>
      <w:r>
        <w:rPr>
          <w:sz w:val="22"/>
        </w:rPr>
        <w:t>Frequent travelers are issued a corporate Visa card. The card must be used for all business travel expenses. Monthly statements must be reconciled in Concur within 10 business days of the statement close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