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509E"/>
        </w:rPr>
        <w:t>Contoso Corporation - Finance Budget Guidelines</w:t>
      </w:r>
    </w:p>
    <w:p>
      <w:r>
        <w:rPr>
          <w:sz w:val="22"/>
        </w:rPr>
        <w:t>Policy ID: FIN-POL-004  |  Effective: FY2025  |  Owner: Finance - FP&amp;A</w:t>
      </w:r>
    </w:p>
    <w:p/>
    <w:p>
      <w:pPr>
        <w:pStyle w:val="Heading2"/>
      </w:pPr>
      <w:r>
        <w:rPr>
          <w:color w:val="00509E"/>
        </w:rPr>
        <w:t>1. Annual Budget Cycle</w:t>
      </w:r>
    </w:p>
    <w:p>
      <w:r>
        <w:rPr>
          <w:sz w:val="22"/>
        </w:rPr>
        <w:t>Contoso's fiscal year runs July 1 to June 30. Budget planning begins in March and concludes with Board approval in June.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Timeline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March 1-15</w:t>
            </w:r>
          </w:p>
        </w:tc>
        <w:tc>
          <w:tcPr>
            <w:tcW w:type="dxa" w:w="4320"/>
          </w:tcPr>
          <w:p>
            <w:r>
              <w:t>Finance distributes budget templates to department heads</w:t>
            </w:r>
          </w:p>
        </w:tc>
      </w:tr>
      <w:tr>
        <w:tc>
          <w:tcPr>
            <w:tcW w:type="dxa" w:w="4320"/>
          </w:tcPr>
          <w:p>
            <w:r>
              <w:t>March 16-31</w:t>
            </w:r>
          </w:p>
        </w:tc>
        <w:tc>
          <w:tcPr>
            <w:tcW w:type="dxa" w:w="4320"/>
          </w:tcPr>
          <w:p>
            <w:r>
              <w:t>Departments submit initial budget requests</w:t>
            </w:r>
          </w:p>
        </w:tc>
      </w:tr>
      <w:tr>
        <w:tc>
          <w:tcPr>
            <w:tcW w:type="dxa" w:w="4320"/>
          </w:tcPr>
          <w:p>
            <w:r>
              <w:t>April 1-15</w:t>
            </w:r>
          </w:p>
        </w:tc>
        <w:tc>
          <w:tcPr>
            <w:tcW w:type="dxa" w:w="4320"/>
          </w:tcPr>
          <w:p>
            <w:r>
              <w:t>Finance consolidates and reviews submissions</w:t>
            </w:r>
          </w:p>
        </w:tc>
      </w:tr>
      <w:tr>
        <w:tc>
          <w:tcPr>
            <w:tcW w:type="dxa" w:w="4320"/>
          </w:tcPr>
          <w:p>
            <w:r>
              <w:t>April 16-30</w:t>
            </w:r>
          </w:p>
        </w:tc>
        <w:tc>
          <w:tcPr>
            <w:tcW w:type="dxa" w:w="4320"/>
          </w:tcPr>
          <w:p>
            <w:r>
              <w:t>Executive review and priority alignment</w:t>
            </w:r>
          </w:p>
        </w:tc>
      </w:tr>
      <w:tr>
        <w:tc>
          <w:tcPr>
            <w:tcW w:type="dxa" w:w="4320"/>
          </w:tcPr>
          <w:p>
            <w:r>
              <w:t>May 1-31</w:t>
            </w:r>
          </w:p>
        </w:tc>
        <w:tc>
          <w:tcPr>
            <w:tcW w:type="dxa" w:w="4320"/>
          </w:tcPr>
          <w:p>
            <w:r>
              <w:t>Revision rounds and final budget preparation</w:t>
            </w:r>
          </w:p>
        </w:tc>
      </w:tr>
      <w:tr>
        <w:tc>
          <w:tcPr>
            <w:tcW w:type="dxa" w:w="4320"/>
          </w:tcPr>
          <w:p>
            <w:r>
              <w:t>June 1-15</w:t>
            </w:r>
          </w:p>
        </w:tc>
        <w:tc>
          <w:tcPr>
            <w:tcW w:type="dxa" w:w="4320"/>
          </w:tcPr>
          <w:p>
            <w:r>
              <w:t>Board approval</w:t>
            </w:r>
          </w:p>
        </w:tc>
      </w:tr>
      <w:tr>
        <w:tc>
          <w:tcPr>
            <w:tcW w:type="dxa" w:w="4320"/>
          </w:tcPr>
          <w:p>
            <w:r>
              <w:t>July 1</w:t>
            </w:r>
          </w:p>
        </w:tc>
        <w:tc>
          <w:tcPr>
            <w:tcW w:type="dxa" w:w="4320"/>
          </w:tcPr>
          <w:p>
            <w:r>
              <w:t>New fiscal year begins; budgets activated</w:t>
            </w:r>
          </w:p>
        </w:tc>
      </w:tr>
    </w:tbl>
    <w:p/>
    <w:p>
      <w:pPr>
        <w:pStyle w:val="Heading2"/>
      </w:pPr>
      <w:r>
        <w:rPr>
          <w:color w:val="00509E"/>
        </w:rPr>
        <w:t>2. Budget Categories</w:t>
      </w:r>
    </w:p>
    <w:p>
      <w:pPr>
        <w:pStyle w:val="ListBullet"/>
      </w:pPr>
      <w:r>
        <w:rPr>
          <w:sz w:val="22"/>
        </w:rPr>
        <w:t>Headcount (HC): FTE and contractor costs including salary, benefits, and equity</w:t>
      </w:r>
    </w:p>
    <w:p>
      <w:pPr>
        <w:pStyle w:val="ListBullet"/>
      </w:pPr>
      <w:r>
        <w:rPr>
          <w:sz w:val="22"/>
        </w:rPr>
        <w:t>Operating Expenses (OpEx): software, SaaS, office supplies, travel</w:t>
      </w:r>
    </w:p>
    <w:p>
      <w:pPr>
        <w:pStyle w:val="ListBullet"/>
      </w:pPr>
      <w:r>
        <w:rPr>
          <w:sz w:val="22"/>
        </w:rPr>
        <w:t>Capital Expenditures (CapEx): hardware and infrastructure over $5,000</w:t>
      </w:r>
    </w:p>
    <w:p>
      <w:pPr>
        <w:pStyle w:val="ListBullet"/>
      </w:pPr>
      <w:r>
        <w:rPr>
          <w:sz w:val="22"/>
        </w:rPr>
        <w:t>Marketing: campaigns, events, content production, agency fees</w:t>
      </w:r>
    </w:p>
    <w:p>
      <w:pPr>
        <w:pStyle w:val="ListBullet"/>
      </w:pPr>
      <w:r>
        <w:rPr>
          <w:sz w:val="22"/>
        </w:rPr>
        <w:t>R&amp;D: engineering tools, cloud compute, patents</w:t>
      </w:r>
    </w:p>
    <w:p>
      <w:pPr>
        <w:pStyle w:val="Heading2"/>
      </w:pPr>
      <w:r>
        <w:rPr>
          <w:color w:val="00509E"/>
        </w:rPr>
        <w:t>3. Variance and Reforecasting</w:t>
      </w:r>
    </w:p>
    <w:p>
      <w:r>
        <w:rPr>
          <w:sz w:val="22"/>
        </w:rPr>
        <w:t>Departments must report monthly actuals vs. budget in the Finance Dashboard. Variance greater than 10% or $50,000 requires written explanation within 5 business days of month-end close. Quarterly reforecasting occurs in October, January, and April.</w:t>
      </w:r>
    </w:p>
    <w:p>
      <w:pPr>
        <w:pStyle w:val="Heading2"/>
      </w:pPr>
      <w:r>
        <w:rPr>
          <w:color w:val="00509E"/>
        </w:rPr>
        <w:t>4. Budget Transfers and Amendments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Transfer Type</w:t>
            </w:r>
          </w:p>
        </w:tc>
        <w:tc>
          <w:tcPr>
            <w:tcW w:type="dxa" w:w="4320"/>
          </w:tcPr>
          <w:p>
            <w:r>
              <w:t>Approval Required</w:t>
            </w:r>
          </w:p>
        </w:tc>
      </w:tr>
      <w:tr>
        <w:tc>
          <w:tcPr>
            <w:tcW w:type="dxa" w:w="4320"/>
          </w:tcPr>
          <w:p>
            <w:r>
              <w:t>Intra-department under $10,000</w:t>
            </w:r>
          </w:p>
        </w:tc>
        <w:tc>
          <w:tcPr>
            <w:tcW w:type="dxa" w:w="4320"/>
          </w:tcPr>
          <w:p>
            <w:r>
              <w:t>Manager</w:t>
            </w:r>
          </w:p>
        </w:tc>
      </w:tr>
      <w:tr>
        <w:tc>
          <w:tcPr>
            <w:tcW w:type="dxa" w:w="4320"/>
          </w:tcPr>
          <w:p>
            <w:r>
              <w:t>Intra-department $10,000-$50,000</w:t>
            </w:r>
          </w:p>
        </w:tc>
        <w:tc>
          <w:tcPr>
            <w:tcW w:type="dxa" w:w="4320"/>
          </w:tcPr>
          <w:p>
            <w:r>
              <w:t>Director + Finance</w:t>
            </w:r>
          </w:p>
        </w:tc>
      </w:tr>
      <w:tr>
        <w:tc>
          <w:tcPr>
            <w:tcW w:type="dxa" w:w="4320"/>
          </w:tcPr>
          <w:p>
            <w:r>
              <w:t>Inter-department transfers</w:t>
            </w:r>
          </w:p>
        </w:tc>
        <w:tc>
          <w:tcPr>
            <w:tcW w:type="dxa" w:w="4320"/>
          </w:tcPr>
          <w:p>
            <w:r>
              <w:t>VP from both departments</w:t>
            </w:r>
          </w:p>
        </w:tc>
      </w:tr>
      <w:tr>
        <w:tc>
          <w:tcPr>
            <w:tcW w:type="dxa" w:w="4320"/>
          </w:tcPr>
          <w:p>
            <w:r>
              <w:t>New spend not in approved budget</w:t>
            </w:r>
          </w:p>
        </w:tc>
        <w:tc>
          <w:tcPr>
            <w:tcW w:type="dxa" w:w="4320"/>
          </w:tcPr>
          <w:p>
            <w:r>
              <w:t>Full budget amendment process</w:t>
            </w:r>
          </w:p>
        </w:tc>
      </w:tr>
    </w:tbl>
    <w:p/>
    <w:p>
      <w:pPr>
        <w:pStyle w:val="Heading2"/>
      </w:pPr>
      <w:r>
        <w:rPr>
          <w:color w:val="00509E"/>
        </w:rPr>
        <w:t>5. Headcount Budget Rules</w:t>
      </w:r>
    </w:p>
    <w:p>
      <w:pPr>
        <w:pStyle w:val="ListBullet"/>
      </w:pPr>
      <w:r>
        <w:rPr>
          <w:sz w:val="22"/>
        </w:rPr>
        <w:t>All new hires must be in the approved headcount plan</w:t>
      </w:r>
    </w:p>
    <w:p>
      <w:pPr>
        <w:pStyle w:val="ListBullet"/>
      </w:pPr>
      <w:r>
        <w:rPr>
          <w:sz w:val="22"/>
        </w:rPr>
        <w:t>Backfilling a departed employee is automatically approved if role was budgeted</w:t>
      </w:r>
    </w:p>
    <w:p>
      <w:pPr>
        <w:pStyle w:val="ListBullet"/>
      </w:pPr>
      <w:r>
        <w:rPr>
          <w:sz w:val="22"/>
        </w:rPr>
        <w:t>Creating a new role requires Director approval and Finance sign-off</w:t>
      </w:r>
    </w:p>
    <w:p>
      <w:pPr>
        <w:pStyle w:val="ListBullet"/>
      </w:pPr>
      <w:r>
        <w:rPr>
          <w:sz w:val="22"/>
        </w:rPr>
        <w:t>Contractor extensions beyond 12 months require VP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