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509E"/>
        </w:rPr>
        <w:t>Contoso Corporation - Finance Expense Policy</w:t>
      </w:r>
    </w:p>
    <w:p>
      <w:r>
        <w:rPr>
          <w:sz w:val="22"/>
        </w:rPr>
        <w:t>Policy ID: FIN-POL-001  |  Effective: January 1, 2025  |  Owner: Finance</w:t>
      </w:r>
    </w:p>
    <w:p/>
    <w:p>
      <w:pPr>
        <w:pStyle w:val="Heading2"/>
      </w:pPr>
      <w:r>
        <w:rPr>
          <w:color w:val="00509E"/>
        </w:rPr>
        <w:t>1. Purpose and Scope</w:t>
      </w:r>
    </w:p>
    <w:p>
      <w:r>
        <w:rPr>
          <w:sz w:val="22"/>
        </w:rPr>
        <w:t>Governs how employees incur and report business expenses. Applies to all Contoso employees, contractors with expense privileges, and anyone submitting expenses on behalf of Contoso.</w:t>
      </w:r>
    </w:p>
    <w:p>
      <w:pPr>
        <w:pStyle w:val="Heading2"/>
      </w:pPr>
      <w:r>
        <w:rPr>
          <w:color w:val="00509E"/>
        </w:rPr>
        <w:t>2. General Principles</w:t>
      </w:r>
    </w:p>
    <w:p>
      <w:pPr>
        <w:pStyle w:val="ListBullet"/>
      </w:pPr>
      <w:r>
        <w:rPr>
          <w:sz w:val="22"/>
        </w:rPr>
        <w:t>Expenses must be necessary, reasonable, and directly related to business</w:t>
      </w:r>
    </w:p>
    <w:p>
      <w:pPr>
        <w:pStyle w:val="ListBullet"/>
      </w:pPr>
      <w:r>
        <w:rPr>
          <w:sz w:val="22"/>
        </w:rPr>
        <w:t>Expense reports must be submitted within 30 days of incurring the expense</w:t>
      </w:r>
    </w:p>
    <w:p>
      <w:pPr>
        <w:pStyle w:val="ListBullet"/>
      </w:pPr>
      <w:r>
        <w:rPr>
          <w:sz w:val="22"/>
        </w:rPr>
        <w:t>Receipts are required for all expenses over $25</w:t>
      </w:r>
    </w:p>
    <w:p>
      <w:pPr>
        <w:pStyle w:val="Heading2"/>
      </w:pPr>
      <w:r>
        <w:rPr>
          <w:color w:val="00509E"/>
        </w:rPr>
        <w:t>3. Approval Thresholds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Expense Amount</w:t>
            </w:r>
          </w:p>
        </w:tc>
        <w:tc>
          <w:tcPr>
            <w:tcW w:type="dxa" w:w="2880"/>
          </w:tcPr>
          <w:p>
            <w:r>
              <w:t>Approver Required</w:t>
            </w:r>
          </w:p>
        </w:tc>
        <w:tc>
          <w:tcPr>
            <w:tcW w:type="dxa" w:w="2880"/>
          </w:tcPr>
          <w:p>
            <w:r>
              <w:t>SLA (Business Days)</w:t>
            </w:r>
          </w:p>
        </w:tc>
      </w:tr>
      <w:tr>
        <w:tc>
          <w:tcPr>
            <w:tcW w:type="dxa" w:w="2880"/>
          </w:tcPr>
          <w:p>
            <w:r>
              <w:t>Up to $500</w:t>
            </w:r>
          </w:p>
        </w:tc>
        <w:tc>
          <w:tcPr>
            <w:tcW w:type="dxa" w:w="2880"/>
          </w:tcPr>
          <w:p>
            <w:r>
              <w:t>Direct Manager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$501 - $2,000</w:t>
            </w:r>
          </w:p>
        </w:tc>
        <w:tc>
          <w:tcPr>
            <w:tcW w:type="dxa" w:w="2880"/>
          </w:tcPr>
          <w:p>
            <w:r>
              <w:t>Senior Manager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$2,001 - $10,000</w:t>
            </w:r>
          </w:p>
        </w:tc>
        <w:tc>
          <w:tcPr>
            <w:tcW w:type="dxa" w:w="2880"/>
          </w:tcPr>
          <w:p>
            <w:r>
              <w:t>Director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$10,001 - $50,000</w:t>
            </w:r>
          </w:p>
        </w:tc>
        <w:tc>
          <w:tcPr>
            <w:tcW w:type="dxa" w:w="2880"/>
          </w:tcPr>
          <w:p>
            <w:r>
              <w:t>VP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Over $50,000</w:t>
            </w:r>
          </w:p>
        </w:tc>
        <w:tc>
          <w:tcPr>
            <w:tcW w:type="dxa" w:w="2880"/>
          </w:tcPr>
          <w:p>
            <w:r>
              <w:t>CFO or CEO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p/>
    <w:p>
      <w:pPr>
        <w:pStyle w:val="Heading2"/>
      </w:pPr>
      <w:r>
        <w:rPr>
          <w:color w:val="00509E"/>
        </w:rPr>
        <w:t>4. Reimbursable Categories</w:t>
      </w:r>
    </w:p>
    <w:p>
      <w:pPr>
        <w:pStyle w:val="ListBullet"/>
      </w:pPr>
      <w:r>
        <w:rPr>
          <w:sz w:val="22"/>
        </w:rPr>
        <w:t>Business travel (flights, hotels, ground transportation)</w:t>
      </w:r>
    </w:p>
    <w:p>
      <w:pPr>
        <w:pStyle w:val="ListBullet"/>
      </w:pPr>
      <w:r>
        <w:rPr>
          <w:sz w:val="22"/>
        </w:rPr>
        <w:t>Client meals and entertainment (must list attendees and business purpose)</w:t>
      </w:r>
    </w:p>
    <w:p>
      <w:pPr>
        <w:pStyle w:val="ListBullet"/>
      </w:pPr>
      <w:r>
        <w:rPr>
          <w:sz w:val="22"/>
        </w:rPr>
        <w:t>Training, conferences, and professional development</w:t>
      </w:r>
    </w:p>
    <w:p>
      <w:pPr>
        <w:pStyle w:val="ListBullet"/>
      </w:pPr>
      <w:r>
        <w:rPr>
          <w:sz w:val="22"/>
        </w:rPr>
        <w:t>Office supplies (manager approval for items over $75)</w:t>
      </w:r>
    </w:p>
    <w:p>
      <w:pPr>
        <w:pStyle w:val="ListBullet"/>
      </w:pPr>
      <w:r>
        <w:rPr>
          <w:sz w:val="22"/>
        </w:rPr>
        <w:t>Remote work equipment (up to $500/year with IT approval)</w:t>
      </w:r>
    </w:p>
    <w:p>
      <w:pPr>
        <w:pStyle w:val="Heading2"/>
      </w:pPr>
      <w:r>
        <w:rPr>
          <w:color w:val="00509E"/>
        </w:rPr>
        <w:t>5. Non-Reimbursable Items</w:t>
      </w:r>
    </w:p>
    <w:p>
      <w:pPr>
        <w:pStyle w:val="ListBullet"/>
      </w:pPr>
      <w:r>
        <w:rPr>
          <w:sz w:val="22"/>
        </w:rPr>
        <w:t>Personal meals while not traveling</w:t>
      </w:r>
    </w:p>
    <w:p>
      <w:pPr>
        <w:pStyle w:val="ListBullet"/>
      </w:pPr>
      <w:r>
        <w:rPr>
          <w:sz w:val="22"/>
        </w:rPr>
        <w:t>Gifts to employees (use the HR Recognition program)</w:t>
      </w:r>
    </w:p>
    <w:p>
      <w:pPr>
        <w:pStyle w:val="ListBullet"/>
      </w:pPr>
      <w:r>
        <w:rPr>
          <w:sz w:val="22"/>
        </w:rPr>
        <w:t>Charitable donations (use payroll giving)</w:t>
      </w:r>
    </w:p>
    <w:p>
      <w:pPr>
        <w:pStyle w:val="ListBullet"/>
      </w:pPr>
      <w:r>
        <w:rPr>
          <w:sz w:val="22"/>
        </w:rPr>
        <w:t>Fines, penalties, or legal fees from personal conduct</w:t>
      </w:r>
    </w:p>
    <w:p>
      <w:pPr>
        <w:pStyle w:val="Heading2"/>
      </w:pPr>
      <w:r>
        <w:rPr>
          <w:color w:val="00509E"/>
        </w:rPr>
        <w:t>6. Submission Process</w:t>
      </w:r>
    </w:p>
    <w:p>
      <w:pPr>
        <w:pStyle w:val="ListBullet"/>
      </w:pPr>
      <w:r>
        <w:rPr>
          <w:sz w:val="22"/>
        </w:rPr>
        <w:t>Log into Concur at concur.contoso.com</w:t>
      </w:r>
    </w:p>
    <w:p>
      <w:pPr>
        <w:pStyle w:val="ListBullet"/>
      </w:pPr>
      <w:r>
        <w:rPr>
          <w:sz w:val="22"/>
        </w:rPr>
        <w:t>Create expense report and attach receipts</w:t>
      </w:r>
    </w:p>
    <w:p>
      <w:pPr>
        <w:pStyle w:val="ListBullet"/>
      </w:pPr>
      <w:r>
        <w:rPr>
          <w:sz w:val="22"/>
        </w:rPr>
        <w:t>Select appropriate cost center and budget code</w:t>
      </w:r>
    </w:p>
    <w:p>
      <w:pPr>
        <w:pStyle w:val="ListBullet"/>
      </w:pPr>
      <w:r>
        <w:rPr>
          <w:sz w:val="22"/>
        </w:rPr>
        <w:t>Submit for manager approval; Finance processes payment within 2 payroll cycles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