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09E"/>
        </w:rPr>
        <w:t>Contoso Corporation - Finance Procurement Approval Policy</w:t>
      </w:r>
    </w:p>
    <w:p>
      <w:r>
        <w:rPr>
          <w:sz w:val="22"/>
        </w:rPr>
        <w:t>Policy ID: FIN-POL-006  |  Effective: January 1, 2025  |  Owner: Finance - Procurement</w:t>
      </w:r>
    </w:p>
    <w:p/>
    <w:p>
      <w:pPr>
        <w:pStyle w:val="Heading2"/>
      </w:pPr>
      <w:r>
        <w:rPr>
          <w:color w:val="00509E"/>
        </w:rPr>
        <w:t>1. Purpose</w:t>
      </w:r>
    </w:p>
    <w:p>
      <w:r>
        <w:rPr>
          <w:sz w:val="22"/>
        </w:rPr>
        <w:t>Ensures all Contoso purchases are properly authorized, competitively priced, and in compliance with financial controls. All vendors must be approved before engagement.</w:t>
      </w:r>
    </w:p>
    <w:p>
      <w:pPr>
        <w:pStyle w:val="Heading2"/>
      </w:pPr>
      <w:r>
        <w:rPr>
          <w:color w:val="00509E"/>
        </w:rPr>
        <w:t>2. Purchase Approval Thresholds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Purchase Value (USD)</w:t>
            </w:r>
          </w:p>
        </w:tc>
        <w:tc>
          <w:tcPr>
            <w:tcW w:type="dxa" w:w="2880"/>
          </w:tcPr>
          <w:p>
            <w:r>
              <w:t>Approver(s)</w:t>
            </w:r>
          </w:p>
        </w:tc>
        <w:tc>
          <w:tcPr>
            <w:tcW w:type="dxa" w:w="2880"/>
          </w:tcPr>
          <w:p>
            <w:r>
              <w:t>PO Required</w:t>
            </w:r>
          </w:p>
        </w:tc>
      </w:tr>
      <w:tr>
        <w:tc>
          <w:tcPr>
            <w:tcW w:type="dxa" w:w="2880"/>
          </w:tcPr>
          <w:p>
            <w:r>
              <w:t>Under $1,000</w:t>
            </w:r>
          </w:p>
        </w:tc>
        <w:tc>
          <w:tcPr>
            <w:tcW w:type="dxa" w:w="2880"/>
          </w:tcPr>
          <w:p>
            <w:r>
              <w:t>Manager</w:t>
            </w:r>
          </w:p>
        </w:tc>
        <w:tc>
          <w:tcPr>
            <w:tcW w:type="dxa" w:w="2880"/>
          </w:tcPr>
          <w:p>
            <w:r>
              <w:t>No</w:t>
            </w:r>
          </w:p>
        </w:tc>
      </w:tr>
      <w:tr>
        <w:tc>
          <w:tcPr>
            <w:tcW w:type="dxa" w:w="2880"/>
          </w:tcPr>
          <w:p>
            <w:r>
              <w:t>$1,000 - $9,999</w:t>
            </w:r>
          </w:p>
        </w:tc>
        <w:tc>
          <w:tcPr>
            <w:tcW w:type="dxa" w:w="2880"/>
          </w:tcPr>
          <w:p>
            <w:r>
              <w:t>Manager + Finance</w:t>
            </w:r>
          </w:p>
        </w:tc>
        <w:tc>
          <w:tcPr>
            <w:tcW w:type="dxa" w:w="2880"/>
          </w:tcPr>
          <w:p>
            <w:r>
              <w:t>No</w:t>
            </w:r>
          </w:p>
        </w:tc>
      </w:tr>
      <w:tr>
        <w:tc>
          <w:tcPr>
            <w:tcW w:type="dxa" w:w="2880"/>
          </w:tcPr>
          <w:p>
            <w:r>
              <w:t>$10,000 - $49,999</w:t>
            </w:r>
          </w:p>
        </w:tc>
        <w:tc>
          <w:tcPr>
            <w:tcW w:type="dxa" w:w="2880"/>
          </w:tcPr>
          <w:p>
            <w:r>
              <w:t>Director + Finance</w:t>
            </w:r>
          </w:p>
        </w:tc>
        <w:tc>
          <w:tcPr>
            <w:tcW w:type="dxa" w:w="2880"/>
          </w:tcPr>
          <w:p>
            <w:r>
              <w:t>Yes</w:t>
            </w:r>
          </w:p>
        </w:tc>
      </w:tr>
      <w:tr>
        <w:tc>
          <w:tcPr>
            <w:tcW w:type="dxa" w:w="2880"/>
          </w:tcPr>
          <w:p>
            <w:r>
              <w:t>$50,000 - $249,999</w:t>
            </w:r>
          </w:p>
        </w:tc>
        <w:tc>
          <w:tcPr>
            <w:tcW w:type="dxa" w:w="2880"/>
          </w:tcPr>
          <w:p>
            <w:r>
              <w:t>VP + CFO</w:t>
            </w:r>
          </w:p>
        </w:tc>
        <w:tc>
          <w:tcPr>
            <w:tcW w:type="dxa" w:w="2880"/>
          </w:tcPr>
          <w:p>
            <w:r>
              <w:t>Yes</w:t>
            </w:r>
          </w:p>
        </w:tc>
      </w:tr>
      <w:tr>
        <w:tc>
          <w:tcPr>
            <w:tcW w:type="dxa" w:w="2880"/>
          </w:tcPr>
          <w:p>
            <w:r>
              <w:t>$250,000+</w:t>
            </w:r>
          </w:p>
        </w:tc>
        <w:tc>
          <w:tcPr>
            <w:tcW w:type="dxa" w:w="2880"/>
          </w:tcPr>
          <w:p>
            <w:r>
              <w:t>CFO + CEO + Board</w:t>
            </w:r>
          </w:p>
        </w:tc>
        <w:tc>
          <w:tcPr>
            <w:tcW w:type="dxa" w:w="2880"/>
          </w:tcPr>
          <w:p>
            <w:r>
              <w:t>Yes</w:t>
            </w:r>
          </w:p>
        </w:tc>
      </w:tr>
    </w:tbl>
    <w:p/>
    <w:p>
      <w:pPr>
        <w:pStyle w:val="Heading2"/>
      </w:pPr>
      <w:r>
        <w:rPr>
          <w:color w:val="00509E"/>
        </w:rPr>
        <w:t>3. Vendor Selection Process</w:t>
      </w:r>
    </w:p>
    <w:p>
      <w:pPr>
        <w:pStyle w:val="ListBullet"/>
      </w:pPr>
      <w:r>
        <w:rPr>
          <w:sz w:val="22"/>
        </w:rPr>
        <w:t>$10,000-$49,999: Minimum 2 vendor quotes required</w:t>
      </w:r>
    </w:p>
    <w:p>
      <w:pPr>
        <w:pStyle w:val="ListBullet"/>
      </w:pPr>
      <w:r>
        <w:rPr>
          <w:sz w:val="22"/>
        </w:rPr>
        <w:t>$50,000+: Formal RFP process required</w:t>
      </w:r>
    </w:p>
    <w:p>
      <w:pPr>
        <w:pStyle w:val="ListBullet"/>
      </w:pPr>
      <w:r>
        <w:rPr>
          <w:sz w:val="22"/>
        </w:rPr>
        <w:t>Strategic sole-source exceptions require VP + Finance written justification</w:t>
      </w:r>
    </w:p>
    <w:p>
      <w:pPr>
        <w:pStyle w:val="ListBullet"/>
      </w:pPr>
      <w:r>
        <w:rPr>
          <w:sz w:val="22"/>
        </w:rPr>
        <w:t>New vendors must complete onboarding form and pass compliance screening</w:t>
      </w:r>
    </w:p>
    <w:p>
      <w:pPr>
        <w:pStyle w:val="Heading2"/>
      </w:pPr>
      <w:r>
        <w:rPr>
          <w:color w:val="00509E"/>
        </w:rPr>
        <w:t>4. Preferred Vendors</w:t>
      </w:r>
    </w:p>
    <w:p>
      <w:r>
        <w:rPr>
          <w:sz w:val="22"/>
        </w:rPr>
        <w:t>Contoso maintains pre-approved preferred vendors with negotiated rates. Using preferred vendors streamlines the approval process and may reduce required approval levels by one tier. The vendor list is maintained by Procurement on the Finance SharePoint site.</w:t>
      </w:r>
    </w:p>
    <w:p>
      <w:pPr>
        <w:pStyle w:val="Heading2"/>
      </w:pPr>
      <w:r>
        <w:rPr>
          <w:color w:val="00509E"/>
        </w:rPr>
        <w:t>5. Software and SaaS Purchases</w:t>
      </w:r>
    </w:p>
    <w:p>
      <w:pPr>
        <w:pStyle w:val="ListBullet"/>
      </w:pPr>
      <w:r>
        <w:rPr>
          <w:sz w:val="22"/>
        </w:rPr>
        <w:t>All software must be reviewed by IT Security before approval</w:t>
      </w:r>
    </w:p>
    <w:p>
      <w:pPr>
        <w:pStyle w:val="ListBullet"/>
      </w:pPr>
      <w:r>
        <w:rPr>
          <w:sz w:val="22"/>
        </w:rPr>
        <w:t>SaaS tools accessing Contoso data require a Data Processing Agreement (DPA)</w:t>
      </w:r>
    </w:p>
    <w:p>
      <w:pPr>
        <w:pStyle w:val="ListBullet"/>
      </w:pPr>
      <w:r>
        <w:rPr>
          <w:sz w:val="22"/>
        </w:rPr>
        <w:t>SaaS renewals over $25,000 must be reviewed by Procurement 90 days in advance</w:t>
      </w:r>
    </w:p>
    <w:p>
      <w:pPr>
        <w:pStyle w:val="Heading2"/>
      </w:pPr>
      <w:r>
        <w:rPr>
          <w:color w:val="00509E"/>
        </w:rPr>
        <w:t>6. Purchase Order Process</w:t>
      </w:r>
    </w:p>
    <w:p>
      <w:pPr>
        <w:pStyle w:val="ListBullet"/>
      </w:pPr>
      <w:r>
        <w:rPr>
          <w:sz w:val="22"/>
        </w:rPr>
        <w:t>Requester submits Purchase Requisition (PR) in SAP with cost center and budget code</w:t>
      </w:r>
    </w:p>
    <w:p>
      <w:pPr>
        <w:pStyle w:val="ListBullet"/>
      </w:pPr>
      <w:r>
        <w:rPr>
          <w:sz w:val="22"/>
        </w:rPr>
        <w:t>Finance validates budget availability</w:t>
      </w:r>
    </w:p>
    <w:p>
      <w:pPr>
        <w:pStyle w:val="ListBullet"/>
      </w:pPr>
      <w:r>
        <w:rPr>
          <w:sz w:val="22"/>
        </w:rPr>
        <w:t>Approvers review per threshold table</w:t>
      </w:r>
    </w:p>
    <w:p>
      <w:pPr>
        <w:pStyle w:val="ListBullet"/>
      </w:pPr>
      <w:r>
        <w:rPr>
          <w:sz w:val="22"/>
        </w:rPr>
        <w:t>Procurement issues PO to vendor</w:t>
      </w:r>
    </w:p>
    <w:p>
      <w:pPr>
        <w:pStyle w:val="ListBullet"/>
      </w:pPr>
      <w:r>
        <w:rPr>
          <w:sz w:val="22"/>
        </w:rPr>
        <w:t>3-way match (PO, receipt, invoice) before payment</w:t>
      </w:r>
    </w:p>
    <w:p>
      <w:pPr>
        <w:pStyle w:val="ListBullet"/>
      </w:pPr>
      <w:r>
        <w:rPr>
          <w:sz w:val="22"/>
        </w:rPr>
        <w:t>Payment terms: Net 30 standard; Net 60 for strategic vendors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