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09E"/>
        </w:rPr>
        <w:t>Contoso Corporation - Employee HR Handbook</w:t>
      </w:r>
    </w:p>
    <w:p>
      <w:r>
        <w:rPr>
          <w:sz w:val="22"/>
        </w:rPr>
        <w:t>Effective Date: January 1, 2025  |  Version 4.2  |  Issued by: People &amp; Culture</w:t>
      </w:r>
    </w:p>
    <w:p/>
    <w:p>
      <w:pPr>
        <w:pStyle w:val="Heading2"/>
      </w:pPr>
      <w:r>
        <w:rPr>
          <w:color w:val="00509E"/>
        </w:rPr>
        <w:t>1. Welcome to Contoso</w:t>
      </w:r>
    </w:p>
    <w:p>
      <w:r>
        <w:rPr>
          <w:sz w:val="22"/>
        </w:rPr>
        <w:t>Contoso Corporation is a global technology and services company headquartered in Redmond, WA with over 18,000 employees across 42 countries. Our mission is to empower every organization on the planet to achieve more through innovative technology solutions.</w:t>
      </w:r>
    </w:p>
    <w:p>
      <w:pPr>
        <w:pStyle w:val="Heading2"/>
      </w:pPr>
      <w:r>
        <w:rPr>
          <w:color w:val="00509E"/>
        </w:rPr>
        <w:t>2. Employment Policies</w:t>
      </w:r>
    </w:p>
    <w:p>
      <w:r>
        <w:rPr>
          <w:sz w:val="22"/>
        </w:rPr>
        <w:t>Contoso is an equal-opportunity employer. All employment decisions are made without regard to race, color, religion, sex, national origin, disability, or any other legally protected status.</w:t>
      </w:r>
    </w:p>
    <w:p>
      <w:pPr>
        <w:pStyle w:val="Heading2"/>
      </w:pPr>
      <w:r>
        <w:rPr>
          <w:color w:val="00509E"/>
        </w:rPr>
        <w:t>3. Work Hours and Schedules</w:t>
      </w:r>
    </w:p>
    <w:p>
      <w:r>
        <w:rPr>
          <w:sz w:val="22"/>
        </w:rPr>
        <w:t>Standard work hours are 9:00 AM to 5:00 PM local time, Monday through Friday. Employees on flexible or hybrid schedules must maintain core hours of 10:00 AM to 3:00 PM.</w:t>
      </w:r>
    </w:p>
    <w:p>
      <w:pPr>
        <w:pStyle w:val="Heading2"/>
      </w:pPr>
      <w:r>
        <w:rPr>
          <w:color w:val="00509E"/>
        </w:rPr>
        <w:t>4. Compensation and Payroll</w:t>
      </w:r>
    </w:p>
    <w:p>
      <w:r>
        <w:rPr>
          <w:sz w:val="22"/>
        </w:rPr>
        <w:t>Salaries are reviewed annually each April. Payroll is processed bi-weekly (every other Friday). Direct deposit is mandatory for all full-time employees.</w:t>
      </w:r>
    </w:p>
    <w:p>
      <w:pPr>
        <w:pStyle w:val="ListBullet"/>
      </w:pPr>
      <w:r>
        <w:rPr>
          <w:sz w:val="22"/>
        </w:rPr>
        <w:t>Annual merit increases: 0-8% based on performance rating</w:t>
      </w:r>
    </w:p>
    <w:p>
      <w:pPr>
        <w:pStyle w:val="ListBullet"/>
      </w:pPr>
      <w:r>
        <w:rPr>
          <w:sz w:val="22"/>
        </w:rPr>
        <w:t>Bonus eligibility: employees rated Meets Expectations or above</w:t>
      </w:r>
    </w:p>
    <w:p>
      <w:pPr>
        <w:pStyle w:val="ListBullet"/>
      </w:pPr>
      <w:r>
        <w:rPr>
          <w:sz w:val="22"/>
        </w:rPr>
        <w:t>Equity grants: available to Level 5 and above</w:t>
      </w:r>
    </w:p>
    <w:p>
      <w:pPr>
        <w:pStyle w:val="Heading2"/>
      </w:pPr>
      <w:r>
        <w:rPr>
          <w:color w:val="00509E"/>
        </w:rPr>
        <w:t>5. Benefits Overview</w:t>
      </w:r>
    </w:p>
    <w:tbl>
      <w:tblPr>
        <w:tblStyle w:val="LightList-Accent1"/>
        <w:tblW w:type="auto" w:w="0"/>
        <w:tblLook w:firstColumn="1" w:firstRow="1" w:lastColumn="0" w:lastRow="0" w:noHBand="0" w:noVBand="1" w:val="04A0"/>
      </w:tblPr>
      <w:tblGrid>
        <w:gridCol w:w="4320"/>
        <w:gridCol w:w="4320"/>
      </w:tblGrid>
      <w:tr>
        <w:tc>
          <w:tcPr>
            <w:tcW w:type="dxa" w:w="4320"/>
          </w:tcPr>
          <w:p>
            <w:r>
              <w:t>Benefit</w:t>
            </w:r>
          </w:p>
        </w:tc>
        <w:tc>
          <w:tcPr>
            <w:tcW w:type="dxa" w:w="4320"/>
          </w:tcPr>
          <w:p>
            <w:r>
              <w:t>Details</w:t>
            </w:r>
          </w:p>
        </w:tc>
      </w:tr>
      <w:tr>
        <w:tc>
          <w:tcPr>
            <w:tcW w:type="dxa" w:w="4320"/>
          </w:tcPr>
          <w:p>
            <w:r>
              <w:t>Medical</w:t>
            </w:r>
          </w:p>
        </w:tc>
        <w:tc>
          <w:tcPr>
            <w:tcW w:type="dxa" w:w="4320"/>
          </w:tcPr>
          <w:p>
            <w:r>
              <w:t>3 plan options (HMO, PPO, HDHP)</w:t>
            </w:r>
          </w:p>
        </w:tc>
      </w:tr>
      <w:tr>
        <w:tc>
          <w:tcPr>
            <w:tcW w:type="dxa" w:w="4320"/>
          </w:tcPr>
          <w:p>
            <w:r>
              <w:t>Dental</w:t>
            </w:r>
          </w:p>
        </w:tc>
        <w:tc>
          <w:tcPr>
            <w:tcW w:type="dxa" w:w="4320"/>
          </w:tcPr>
          <w:p>
            <w:r>
              <w:t>80% employer-paid premium</w:t>
            </w:r>
          </w:p>
        </w:tc>
      </w:tr>
      <w:tr>
        <w:tc>
          <w:tcPr>
            <w:tcW w:type="dxa" w:w="4320"/>
          </w:tcPr>
          <w:p>
            <w:r>
              <w:t>Vision</w:t>
            </w:r>
          </w:p>
        </w:tc>
        <w:tc>
          <w:tcPr>
            <w:tcW w:type="dxa" w:w="4320"/>
          </w:tcPr>
          <w:p>
            <w:r>
              <w:t>Annual allowance of $300</w:t>
            </w:r>
          </w:p>
        </w:tc>
      </w:tr>
      <w:tr>
        <w:tc>
          <w:tcPr>
            <w:tcW w:type="dxa" w:w="4320"/>
          </w:tcPr>
          <w:p>
            <w:r>
              <w:t>401(k)</w:t>
            </w:r>
          </w:p>
        </w:tc>
        <w:tc>
          <w:tcPr>
            <w:tcW w:type="dxa" w:w="4320"/>
          </w:tcPr>
          <w:p>
            <w:r>
              <w:t>6% employer match, vested after 2 years</w:t>
            </w:r>
          </w:p>
        </w:tc>
      </w:tr>
      <w:tr>
        <w:tc>
          <w:tcPr>
            <w:tcW w:type="dxa" w:w="4320"/>
          </w:tcPr>
          <w:p>
            <w:r>
              <w:t>Life Insurance</w:t>
            </w:r>
          </w:p>
        </w:tc>
        <w:tc>
          <w:tcPr>
            <w:tcW w:type="dxa" w:w="4320"/>
          </w:tcPr>
          <w:p>
            <w:r>
              <w:t>2x annual salary, employer-paid</w:t>
            </w:r>
          </w:p>
        </w:tc>
      </w:tr>
      <w:tr>
        <w:tc>
          <w:tcPr>
            <w:tcW w:type="dxa" w:w="4320"/>
          </w:tcPr>
          <w:p>
            <w:r>
              <w:t>EAP</w:t>
            </w:r>
          </w:p>
        </w:tc>
        <w:tc>
          <w:tcPr>
            <w:tcW w:type="dxa" w:w="4320"/>
          </w:tcPr>
          <w:p>
            <w:r>
              <w:t>Free counseling, 8 sessions/year</w:t>
            </w:r>
          </w:p>
        </w:tc>
      </w:tr>
    </w:tbl>
    <w:p/>
    <w:p>
      <w:pPr>
        <w:pStyle w:val="Heading2"/>
      </w:pPr>
      <w:r>
        <w:rPr>
          <w:color w:val="00509E"/>
        </w:rPr>
        <w:t>6. Performance Management</w:t>
      </w:r>
    </w:p>
    <w:p>
      <w:r>
        <w:rPr>
          <w:sz w:val="22"/>
        </w:rPr>
        <w:t>Contoso uses a continuous feedback model with formal reviews in June and December. Ratings: Exceptional, Exceeds Expectations, Meets Expectations, Needs Improvement, Unsatisfactory.</w:t>
      </w:r>
    </w:p>
    <w:p>
      <w:pPr>
        <w:pStyle w:val="Heading2"/>
      </w:pPr>
      <w:r>
        <w:rPr>
          <w:color w:val="00509E"/>
        </w:rPr>
        <w:t>7. Workplace Conduct</w:t>
      </w:r>
    </w:p>
    <w:p>
      <w:r>
        <w:rPr>
          <w:sz w:val="22"/>
        </w:rPr>
        <w:t>All employees are expected to maintain a respectful, inclusive, and professional environment. Violations of the Code of Conduct may result in disciplinary action up to and including termination.</w:t>
      </w:r>
    </w:p>
    <w:p>
      <w:pPr>
        <w:pStyle w:val="Heading2"/>
      </w:pPr>
      <w:r>
        <w:rPr>
          <w:color w:val="00509E"/>
        </w:rPr>
        <w:t>8. Termination and Offboarding</w:t>
      </w:r>
    </w:p>
    <w:p>
      <w:r>
        <w:rPr>
          <w:sz w:val="22"/>
        </w:rPr>
        <w:t>Employees resigning must provide a minimum of 2 weeks written notice. IT access is revoked within 4 hours of last working day. Final pay including accrued PTO is issued within the next scheduled payroll cycle.</w:t>
      </w:r>
    </w:p>
    <w:p>
      <w:pPr>
        <w:pStyle w:val="Heading2"/>
      </w:pPr>
      <w:r>
        <w:rPr>
          <w:color w:val="00509E"/>
        </w:rPr>
        <w:t>9. Contact - People &amp; Culture</w:t>
      </w:r>
    </w:p>
    <w:p>
      <w:r>
        <w:rPr>
          <w:sz w:val="22"/>
        </w:rPr>
        <w:t>hr@contoso.com  |  Internal: ext. 5000  |  SharePoint: https://intranet.contoso.com/hr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