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IT Governance Policy</w:t>
      </w:r>
    </w:p>
    <w:p>
      <w:r>
        <w:rPr>
          <w:sz w:val="22"/>
        </w:rPr>
        <w:t>Policy ID: IT-GOV-001  |  Effective: January 1, 2025  |  Owner: IT - Office of the CIO</w:t>
      </w:r>
    </w:p>
    <w:p/>
    <w:p>
      <w:pPr>
        <w:pStyle w:val="Heading2"/>
      </w:pPr>
      <w:r>
        <w:rPr>
          <w:color w:val="00509E"/>
        </w:rPr>
        <w:t>1. Purpose and Scope</w:t>
      </w:r>
    </w:p>
    <w:p>
      <w:r>
        <w:rPr>
          <w:sz w:val="22"/>
        </w:rPr>
        <w:t>Establishes the governance framework for all IT resources, systems, and data at Contoso Corporation. Applies to all employees, contractors, and third parties who access Contoso IT systems.</w:t>
      </w:r>
    </w:p>
    <w:p>
      <w:pPr>
        <w:pStyle w:val="Heading2"/>
      </w:pPr>
      <w:r>
        <w:rPr>
          <w:color w:val="00509E"/>
        </w:rPr>
        <w:t>2. IT Asset Management</w:t>
      </w:r>
    </w:p>
    <w:p>
      <w:pPr>
        <w:pStyle w:val="ListBullet"/>
      </w:pPr>
      <w:r>
        <w:rPr>
          <w:sz w:val="22"/>
        </w:rPr>
        <w:t>All IT assets are inventoried in the Configuration Management Database (CMDB)</w:t>
      </w:r>
    </w:p>
    <w:p>
      <w:pPr>
        <w:pStyle w:val="ListBullet"/>
      </w:pPr>
      <w:r>
        <w:rPr>
          <w:sz w:val="22"/>
        </w:rPr>
        <w:t>Hardware assets over $500 are tagged and tracked</w:t>
      </w:r>
    </w:p>
    <w:p>
      <w:pPr>
        <w:pStyle w:val="ListBullet"/>
      </w:pPr>
      <w:r>
        <w:rPr>
          <w:sz w:val="22"/>
        </w:rPr>
        <w:t>Shadow IT (unsanctioned tools) is prohibited; all tools must be IT-approved</w:t>
      </w:r>
    </w:p>
    <w:p>
      <w:pPr>
        <w:pStyle w:val="ListBullet"/>
      </w:pPr>
      <w:r>
        <w:rPr>
          <w:sz w:val="22"/>
        </w:rPr>
        <w:t>Assets must be returned to IT within 2 business days of employment end</w:t>
      </w:r>
    </w:p>
    <w:p>
      <w:pPr>
        <w:pStyle w:val="Heading2"/>
      </w:pPr>
      <w:r>
        <w:rPr>
          <w:color w:val="00509E"/>
        </w:rPr>
        <w:t>3. Data 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Press releases, marketing materials</w:t>
            </w:r>
          </w:p>
        </w:tc>
        <w:tc>
          <w:tcPr>
            <w:tcW w:type="dxa" w:w="2880"/>
          </w:tcPr>
          <w:p>
            <w:r>
              <w:t>No restrictions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Policies, org charts, project plans</w:t>
            </w:r>
          </w:p>
        </w:tc>
        <w:tc>
          <w:tcPr>
            <w:tcW w:type="dxa" w:w="2880"/>
          </w:tcPr>
          <w:p>
            <w:r>
              <w:t>Internal use only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Financial data, customer PII, contracts</w:t>
            </w:r>
          </w:p>
        </w:tc>
        <w:tc>
          <w:tcPr>
            <w:tcW w:type="dxa" w:w="2880"/>
          </w:tcPr>
          <w:p>
            <w:r>
              <w:t>Encrypted at rest and in transit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M&amp;A plans, board materials, source code</w:t>
            </w:r>
          </w:p>
        </w:tc>
        <w:tc>
          <w:tcPr>
            <w:tcW w:type="dxa" w:w="2880"/>
          </w:tcPr>
          <w:p>
            <w:r>
              <w:t>Need-to-know; logging required</w:t>
            </w:r>
          </w:p>
        </w:tc>
      </w:tr>
    </w:tbl>
    <w:p/>
    <w:p>
      <w:pPr>
        <w:pStyle w:val="Heading2"/>
      </w:pPr>
      <w:r>
        <w:rPr>
          <w:color w:val="00509E"/>
        </w:rPr>
        <w:t>4. Access Control</w:t>
      </w:r>
    </w:p>
    <w:p>
      <w:pPr>
        <w:pStyle w:val="ListBullet"/>
      </w:pPr>
      <w:r>
        <w:rPr>
          <w:sz w:val="22"/>
        </w:rPr>
        <w:t>Access granted on principle of least privilege</w:t>
      </w:r>
    </w:p>
    <w:p>
      <w:pPr>
        <w:pStyle w:val="ListBullet"/>
      </w:pPr>
      <w:r>
        <w:rPr>
          <w:sz w:val="22"/>
        </w:rPr>
        <w:t>Manager approval required for all system access requests</w:t>
      </w:r>
    </w:p>
    <w:p>
      <w:pPr>
        <w:pStyle w:val="ListBullet"/>
      </w:pPr>
      <w:r>
        <w:rPr>
          <w:sz w:val="22"/>
        </w:rPr>
        <w:t>Privileged accounts require MFA and are audited quarterly</w:t>
      </w:r>
    </w:p>
    <w:p>
      <w:pPr>
        <w:pStyle w:val="ListBullet"/>
      </w:pPr>
      <w:r>
        <w:rPr>
          <w:sz w:val="22"/>
        </w:rPr>
        <w:t>Access automatically revoked upon role change or termination</w:t>
      </w:r>
    </w:p>
    <w:p>
      <w:pPr>
        <w:pStyle w:val="ListBullet"/>
      </w:pPr>
      <w:r>
        <w:rPr>
          <w:sz w:val="22"/>
        </w:rPr>
        <w:t>Annual access reviews for all Restricted systems</w:t>
      </w:r>
    </w:p>
    <w:p>
      <w:pPr>
        <w:pStyle w:val="Heading2"/>
      </w:pPr>
      <w:r>
        <w:rPr>
          <w:color w:val="00509E"/>
        </w:rPr>
        <w:t>5. Vendor and Third-Party IT Access</w:t>
      </w:r>
    </w:p>
    <w:p>
      <w:pPr>
        <w:pStyle w:val="ListBullet"/>
      </w:pPr>
      <w:r>
        <w:rPr>
          <w:sz w:val="22"/>
        </w:rPr>
        <w:t>Third-party access requires signed NDA and vendor access agreement</w:t>
      </w:r>
    </w:p>
    <w:p>
      <w:pPr>
        <w:pStyle w:val="ListBullet"/>
      </w:pPr>
      <w:r>
        <w:rPr>
          <w:sz w:val="22"/>
        </w:rPr>
        <w:t>All vendor access is time-limited and reviewed every 90 days</w:t>
      </w:r>
    </w:p>
    <w:p>
      <w:pPr>
        <w:pStyle w:val="ListBullet"/>
      </w:pPr>
      <w:r>
        <w:rPr>
          <w:sz w:val="22"/>
        </w:rPr>
        <w:t>Vendor privileged access must use Contoso's PAM solution</w:t>
      </w:r>
    </w:p>
    <w:p>
      <w:pPr>
        <w:pStyle w:val="ListBullet"/>
      </w:pPr>
      <w:r>
        <w:rPr>
          <w:sz w:val="22"/>
        </w:rPr>
        <w:t>Vendors may not store Contoso data on personal devices</w:t>
      </w:r>
    </w:p>
    <w:p>
      <w:pPr>
        <w:pStyle w:val="Heading2"/>
      </w:pPr>
      <w:r>
        <w:rPr>
          <w:color w:val="00509E"/>
        </w:rPr>
        <w:t>6. Business Continuity and Disaster Recovery</w:t>
      </w:r>
    </w:p>
    <w:p>
      <w:r>
        <w:rPr>
          <w:sz w:val="22"/>
        </w:rPr>
        <w:t>All critical systems must have documented BC/DR plans with defined RPO and RTO targets per system tier. Plans are tested annually and results reported to the IT Risk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