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09E"/>
        </w:rPr>
        <w:t>Contoso Corporation - IT Hardware Request Process</w:t>
      </w:r>
    </w:p>
    <w:p>
      <w:r>
        <w:rPr>
          <w:sz w:val="22"/>
        </w:rPr>
        <w:t>Process ID: IT-PROC-005  |  Effective: March 1, 2024  |  Owner: IT - End User Computing</w:t>
      </w:r>
    </w:p>
    <w:p/>
    <w:p>
      <w:pPr>
        <w:pStyle w:val="Heading2"/>
      </w:pPr>
      <w:r>
        <w:rPr>
          <w:color w:val="00509E"/>
        </w:rPr>
        <w:t>1. Overview</w:t>
      </w:r>
    </w:p>
    <w:p>
      <w:r>
        <w:rPr>
          <w:sz w:val="22"/>
        </w:rPr>
        <w:t>All hardware requests must go through this process. Employees may not purchase hardware independently and expense it without prior IT approval.</w:t>
      </w:r>
    </w:p>
    <w:p>
      <w:pPr>
        <w:pStyle w:val="Heading2"/>
      </w:pPr>
      <w:r>
        <w:rPr>
          <w:color w:val="00509E"/>
        </w:rPr>
        <w:t>2. Standard Hardware Catalog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Standard Model</w:t>
            </w:r>
          </w:p>
        </w:tc>
        <w:tc>
          <w:tcPr>
            <w:tcW w:type="dxa" w:w="2880"/>
          </w:tcPr>
          <w:p>
            <w:r>
              <w:t>Refresh Cycle</w:t>
            </w:r>
          </w:p>
        </w:tc>
      </w:tr>
      <w:tr>
        <w:tc>
          <w:tcPr>
            <w:tcW w:type="dxa" w:w="2880"/>
          </w:tcPr>
          <w:p>
            <w:r>
              <w:t>Laptop - Standard</w:t>
            </w:r>
          </w:p>
        </w:tc>
        <w:tc>
          <w:tcPr>
            <w:tcW w:type="dxa" w:w="2880"/>
          </w:tcPr>
          <w:p>
            <w:r>
              <w:t>Dell Latitude 5540 / MacBook Air M3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</w:tr>
      <w:tr>
        <w:tc>
          <w:tcPr>
            <w:tcW w:type="dxa" w:w="2880"/>
          </w:tcPr>
          <w:p>
            <w:r>
              <w:t>Laptop - Developer</w:t>
            </w:r>
          </w:p>
        </w:tc>
        <w:tc>
          <w:tcPr>
            <w:tcW w:type="dxa" w:w="2880"/>
          </w:tcPr>
          <w:p>
            <w:r>
              <w:t>Dell XPS 15 / MacBook Pro M3 Pro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</w:tr>
      <w:tr>
        <w:tc>
          <w:tcPr>
            <w:tcW w:type="dxa" w:w="2880"/>
          </w:tcPr>
          <w:p>
            <w:r>
              <w:t>Monitor (primary)</w:t>
            </w:r>
          </w:p>
        </w:tc>
        <w:tc>
          <w:tcPr>
            <w:tcW w:type="dxa" w:w="2880"/>
          </w:tcPr>
          <w:p>
            <w:r>
              <w:t>Dell 27-inch QHD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</w:tr>
      <w:tr>
        <w:tc>
          <w:tcPr>
            <w:tcW w:type="dxa" w:w="2880"/>
          </w:tcPr>
          <w:p>
            <w:r>
              <w:t>Monitor (secondary)</w:t>
            </w:r>
          </w:p>
        </w:tc>
        <w:tc>
          <w:tcPr>
            <w:tcW w:type="dxa" w:w="2880"/>
          </w:tcPr>
          <w:p>
            <w:r>
              <w:t>Dell 24-inch FHD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</w:tr>
      <w:tr>
        <w:tc>
          <w:tcPr>
            <w:tcW w:type="dxa" w:w="2880"/>
          </w:tcPr>
          <w:p>
            <w:r>
              <w:t>Keyboard/Mouse</w:t>
            </w:r>
          </w:p>
        </w:tc>
        <w:tc>
          <w:tcPr>
            <w:tcW w:type="dxa" w:w="2880"/>
          </w:tcPr>
          <w:p>
            <w:r>
              <w:t>Logitech MX series</w:t>
            </w:r>
          </w:p>
        </w:tc>
        <w:tc>
          <w:tcPr>
            <w:tcW w:type="dxa" w:w="2880"/>
          </w:tcPr>
          <w:p>
            <w:r>
              <w:t>As needed</w:t>
            </w:r>
          </w:p>
        </w:tc>
      </w:tr>
      <w:tr>
        <w:tc>
          <w:tcPr>
            <w:tcW w:type="dxa" w:w="2880"/>
          </w:tcPr>
          <w:p>
            <w:r>
              <w:t>Headset</w:t>
            </w:r>
          </w:p>
        </w:tc>
        <w:tc>
          <w:tcPr>
            <w:tcW w:type="dxa" w:w="2880"/>
          </w:tcPr>
          <w:p>
            <w:r>
              <w:t>Jabra Evolve2 55</w:t>
            </w:r>
          </w:p>
        </w:tc>
        <w:tc>
          <w:tcPr>
            <w:tcW w:type="dxa" w:w="2880"/>
          </w:tcPr>
          <w:p>
            <w:r>
              <w:t>3 years</w:t>
            </w:r>
          </w:p>
        </w:tc>
      </w:tr>
      <w:tr>
        <w:tc>
          <w:tcPr>
            <w:tcW w:type="dxa" w:w="2880"/>
          </w:tcPr>
          <w:p>
            <w:r>
              <w:t>Docking Station</w:t>
            </w:r>
          </w:p>
        </w:tc>
        <w:tc>
          <w:tcPr>
            <w:tcW w:type="dxa" w:w="2880"/>
          </w:tcPr>
          <w:p>
            <w:r>
              <w:t>Dell WD22TB4 Thunderbolt</w:t>
            </w:r>
          </w:p>
        </w:tc>
        <w:tc>
          <w:tcPr>
            <w:tcW w:type="dxa" w:w="2880"/>
          </w:tcPr>
          <w:p>
            <w:r>
              <w:t>5 years</w:t>
            </w:r>
          </w:p>
        </w:tc>
      </w:tr>
      <w:tr>
        <w:tc>
          <w:tcPr>
            <w:tcW w:type="dxa" w:w="2880"/>
          </w:tcPr>
          <w:p>
            <w:r>
              <w:t>Mobile Phone</w:t>
            </w:r>
          </w:p>
        </w:tc>
        <w:tc>
          <w:tcPr>
            <w:tcW w:type="dxa" w:w="2880"/>
          </w:tcPr>
          <w:p>
            <w:r>
              <w:t>iPhone 15 or Samsung S25</w:t>
            </w:r>
          </w:p>
        </w:tc>
        <w:tc>
          <w:tcPr>
            <w:tcW w:type="dxa" w:w="2880"/>
          </w:tcPr>
          <w:p>
            <w:r>
              <w:t>2 years</w:t>
            </w:r>
          </w:p>
        </w:tc>
      </w:tr>
    </w:tbl>
    <w:p/>
    <w:p>
      <w:pPr>
        <w:pStyle w:val="Heading2"/>
      </w:pPr>
      <w:r>
        <w:rPr>
          <w:color w:val="00509E"/>
        </w:rPr>
        <w:t>3. How to Submit a Request</w:t>
      </w:r>
    </w:p>
    <w:p>
      <w:pPr>
        <w:pStyle w:val="ListBullet"/>
      </w:pPr>
      <w:r>
        <w:rPr>
          <w:sz w:val="22"/>
        </w:rPr>
        <w:t>Log into IT Service Portal at it.contoso.com/portal</w:t>
      </w:r>
    </w:p>
    <w:p>
      <w:pPr>
        <w:pStyle w:val="ListBullet"/>
      </w:pPr>
      <w:r>
        <w:rPr>
          <w:sz w:val="22"/>
        </w:rPr>
        <w:t>Select Hardware Request from the service catalog</w:t>
      </w:r>
    </w:p>
    <w:p>
      <w:pPr>
        <w:pStyle w:val="ListBullet"/>
      </w:pPr>
      <w:r>
        <w:rPr>
          <w:sz w:val="22"/>
        </w:rPr>
        <w:t>Choose item from standard catalog or describe non-catalog item</w:t>
      </w:r>
    </w:p>
    <w:p>
      <w:pPr>
        <w:pStyle w:val="ListBullet"/>
      </w:pPr>
      <w:r>
        <w:rPr>
          <w:sz w:val="22"/>
        </w:rPr>
        <w:t>Provide cost center and manager's email for approval</w:t>
      </w:r>
    </w:p>
    <w:p>
      <w:pPr>
        <w:pStyle w:val="ListBullet"/>
      </w:pPr>
      <w:r>
        <w:rPr>
          <w:sz w:val="22"/>
        </w:rPr>
        <w:t>Submit; you will receive a confirmation ticket number</w:t>
      </w:r>
    </w:p>
    <w:p>
      <w:pPr>
        <w:pStyle w:val="Heading2"/>
      </w:pPr>
      <w:r>
        <w:rPr>
          <w:color w:val="00509E"/>
        </w:rPr>
        <w:t>4. Approval and Fulfillment Timeline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Request Type</w:t>
            </w:r>
          </w:p>
        </w:tc>
        <w:tc>
          <w:tcPr>
            <w:tcW w:type="dxa" w:w="2880"/>
          </w:tcPr>
          <w:p>
            <w:r>
              <w:t>Approval Required</w:t>
            </w:r>
          </w:p>
        </w:tc>
        <w:tc>
          <w:tcPr>
            <w:tcW w:type="dxa" w:w="2880"/>
          </w:tcPr>
          <w:p>
            <w:r>
              <w:t>Fulfillment SLA</w:t>
            </w:r>
          </w:p>
        </w:tc>
      </w:tr>
      <w:tr>
        <w:tc>
          <w:tcPr>
            <w:tcW w:type="dxa" w:w="2880"/>
          </w:tcPr>
          <w:p>
            <w:r>
              <w:t>Catalog item - replacement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3-5 business days</w:t>
            </w:r>
          </w:p>
        </w:tc>
      </w:tr>
      <w:tr>
        <w:tc>
          <w:tcPr>
            <w:tcW w:type="dxa" w:w="2880"/>
          </w:tcPr>
          <w:p>
            <w:r>
              <w:t>Catalog item - new employee</w:t>
            </w:r>
          </w:p>
        </w:tc>
        <w:tc>
          <w:tcPr>
            <w:tcW w:type="dxa" w:w="2880"/>
          </w:tcPr>
          <w:p>
            <w:r>
              <w:t>HR + IT Auto-approve</w:t>
            </w:r>
          </w:p>
        </w:tc>
        <w:tc>
          <w:tcPr>
            <w:tcW w:type="dxa" w:w="2880"/>
          </w:tcPr>
          <w:p>
            <w:r>
              <w:t>Delivered on start date</w:t>
            </w:r>
          </w:p>
        </w:tc>
      </w:tr>
      <w:tr>
        <w:tc>
          <w:tcPr>
            <w:tcW w:type="dxa" w:w="2880"/>
          </w:tcPr>
          <w:p>
            <w:r>
              <w:t>Catalog item - upgrade</w:t>
            </w:r>
          </w:p>
        </w:tc>
        <w:tc>
          <w:tcPr>
            <w:tcW w:type="dxa" w:w="2880"/>
          </w:tcPr>
          <w:p>
            <w:r>
              <w:t>Manager + IT</w:t>
            </w:r>
          </w:p>
        </w:tc>
        <w:tc>
          <w:tcPr>
            <w:tcW w:type="dxa" w:w="2880"/>
          </w:tcPr>
          <w:p>
            <w:r>
              <w:t>5-7 business days</w:t>
            </w:r>
          </w:p>
        </w:tc>
      </w:tr>
      <w:tr>
        <w:tc>
          <w:tcPr>
            <w:tcW w:type="dxa" w:w="2880"/>
          </w:tcPr>
          <w:p>
            <w:r>
              <w:t>Non-catalog item under $1,000</w:t>
            </w:r>
          </w:p>
        </w:tc>
        <w:tc>
          <w:tcPr>
            <w:tcW w:type="dxa" w:w="2880"/>
          </w:tcPr>
          <w:p>
            <w:r>
              <w:t>Manager + IT</w:t>
            </w:r>
          </w:p>
        </w:tc>
        <w:tc>
          <w:tcPr>
            <w:tcW w:type="dxa" w:w="2880"/>
          </w:tcPr>
          <w:p>
            <w:r>
              <w:t>10 business days</w:t>
            </w:r>
          </w:p>
        </w:tc>
      </w:tr>
      <w:tr>
        <w:tc>
          <w:tcPr>
            <w:tcW w:type="dxa" w:w="2880"/>
          </w:tcPr>
          <w:p>
            <w:r>
              <w:t>Non-catalog item over $1,000</w:t>
            </w:r>
          </w:p>
        </w:tc>
        <w:tc>
          <w:tcPr>
            <w:tcW w:type="dxa" w:w="2880"/>
          </w:tcPr>
          <w:p>
            <w:r>
              <w:t>Manager + IT + Finance</w:t>
            </w:r>
          </w:p>
        </w:tc>
        <w:tc>
          <w:tcPr>
            <w:tcW w:type="dxa" w:w="2880"/>
          </w:tcPr>
          <w:p>
            <w:r>
              <w:t>15 business days</w:t>
            </w:r>
          </w:p>
        </w:tc>
      </w:tr>
      <w:tr>
        <w:tc>
          <w:tcPr>
            <w:tcW w:type="dxa" w:w="2880"/>
          </w:tcPr>
          <w:p>
            <w:r>
              <w:t>Ergonomic accommodation</w:t>
            </w:r>
          </w:p>
        </w:tc>
        <w:tc>
          <w:tcPr>
            <w:tcW w:type="dxa" w:w="2880"/>
          </w:tcPr>
          <w:p>
            <w:r>
              <w:t>HR + IT</w:t>
            </w:r>
          </w:p>
        </w:tc>
        <w:tc>
          <w:tcPr>
            <w:tcW w:type="dxa" w:w="2880"/>
          </w:tcPr>
          <w:p>
            <w:r>
              <w:t>5 business days</w:t>
            </w:r>
          </w:p>
        </w:tc>
      </w:tr>
    </w:tbl>
    <w:p/>
    <w:p>
      <w:pPr>
        <w:pStyle w:val="Heading2"/>
      </w:pPr>
      <w:r>
        <w:rPr>
          <w:color w:val="00509E"/>
        </w:rPr>
        <w:t>5. Early Refresh and Exceptions</w:t>
      </w:r>
    </w:p>
    <w:p>
      <w:r>
        <w:rPr>
          <w:sz w:val="22"/>
        </w:rPr>
        <w:t>Requests before the standard refresh cycle require justification. Eligible reasons include hardware failure, significant performance degradation, role change, or medical/ergonomic need.</w:t>
      </w:r>
    </w:p>
    <w:p>
      <w:pPr>
        <w:pStyle w:val="Heading2"/>
      </w:pPr>
      <w:r>
        <w:rPr>
          <w:color w:val="00509E"/>
        </w:rPr>
        <w:t>6. Device Setup</w:t>
      </w:r>
    </w:p>
    <w:p>
      <w:r>
        <w:rPr>
          <w:sz w:val="22"/>
        </w:rPr>
        <w:t>All Contoso devices are enrolled in Microsoft Intune and pre-configured with standard security policies (BitLocker encryption, EDR agent, DLP policies). Employees should not attempt to reimage their own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