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LEASE ABSTRACT</w:t>
      </w:r>
    </w:p>
    <w:p>
      <w:pPr>
        <w:spacing w:after="300"/>
        <w:jc w:val="center"/>
      </w:pPr>
      <w:r>
        <w:rPr>
          <w:i/>
          <w:iCs/>
          <w:color w:val="808080"/>
          <w:sz w:val="22"/>
          <w:szCs w:val="22"/>
        </w:rPr>
        <w:t xml:space="preserve">Harbor Ridge Business Centre — Suite 310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Property &amp; Parties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Building Name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Harbor Ridge Business Centre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Municipal Address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740 Cormier Avenue, Suite 310, Winnipeg (MB) R3C 2M1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Landlord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Cormier Avenue Holdings Ltd.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Landlord's Property Manager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Sterling Realty Advisors Inc.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 (Legal Name)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Pinehollow Design Studio Inc.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 (Operating Name)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Pinehollow Design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Guarantor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Renata Osei (personal guarantee, capped at 12 months' Rent)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Lease Reference No.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HRBC-310-2026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Abstract Prepared By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Julien Marchetti, Lease Administration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Abstract Date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Jul. 28, 2026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Term &amp; Key Dates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Lease Execution Date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May. 5, 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Delivery / Possession Date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Jun. 1, 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Fixturing Period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Jun. 1, 2026 – Jul. 14, 2026 (6 weeks, rent-free)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Rent Commencement Date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Jul. 15, 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Jul. 14, 2033 (7-year Term)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Notice Address – Tenant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740 Cormier Avenue, Suite 310, Winnipeg (MB) R3C 2M1, Attn: Renata Osei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Notice Address – Landlord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c/o Sterling Realty Advisors Inc., 100 Portage Avenue, Suite 900, Winnipeg (MB) R3B 3P1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Premises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310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Floor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3rd Floor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Usable Area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3,850 sq. ft.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Rentable Area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4,235 sq. ft. (10% load factor)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 Classification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Office / Design Studio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Measurement Basis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BOMA 2017, as certified by Landlord's architect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Base Rent Schedule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1300"/>
        <w:gridCol w:w="14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Lease Year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Rate / SF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Annual Rent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Rent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Jul. 15, 2026 – Jul. 14, 2027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$24.50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$103,757.50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$8,646.46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Jul. 15, 2027 – Jul. 14, 2028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$25.25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$106,933.75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$8,911.15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Jul. 15, 2028 – Jul. 14, 2029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$26.00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$110,110.00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$9,175.83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Jul. 15, 2029 – Jul. 14, 2030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$26.75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$113,286.25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$9,440.52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Jul. 15, 2030 – Jul. 14, 2031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$27.50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$116,462.50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$9,705.21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Jul. 15, 2031 – Jul. 14, 2032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$28.25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$119,638.75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$9,969.90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Jul. 15, 2032 – Jul. 14, 2033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$29.00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$122,815.00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$10,234.58</w:t>
            </w:r>
          </w:p>
        </w:tc>
      </w:tr>
    </w:tbl>
    <w:p>
      <w:pPr>
        <w:spacing w:after="100"/>
      </w:pPr>
      <w:r>
        <w:rPr>
          <w:i/>
          <w:iCs/>
          <w:color w:val="808080"/>
          <w:sz w:val="18"/>
          <w:szCs w:val="18"/>
        </w:rPr>
        <w:t xml:space="preserve">Note: Annual Rent = Rate / SF × Rentable Area. Figures are illustrative sample values.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 Additional Rent &amp; Operating Costs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Net Lease — Tenant pays Proportionate Share of Operating Costs and Realty Taxes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2026 Estimate (Operating Costs)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$11.75 / sf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2026 Estimate (Realty Taxes)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$7.40 / sf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Administration Fee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13% of Operating Costs and Realty Taxes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Utilities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Separately metered; Tenant contracts directly with utility provider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After-Hours HVAC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$60.00 / hour, minimum 2-hour block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Landlord to deliver certified year-end statement within 120 days of fiscal year end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 Security &amp; Allowances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Security Deposit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$17,292.92 (2 months' Gross Rent), non-interest bearing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Letter of Credit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 Improvement Allowance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$32.00 / sf (usable), disbursed in two draws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Free Rent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 weeks during fixturing (see Term above)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 Parking &amp; Signage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Parking Allotment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 unreserved stalls in surface lot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Parking Rate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$95.00 / stall / month plus applicable tax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Signage Rights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Building-standard suite entry and directory listing; exterior monument sign subject to Landlord approval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 Renewal, Termination &amp; Expansion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Renewal Options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Two (2) successive 5-year terms at Fair Market Rent; 9 months' prior written notice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Early Termination Right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One-time right at end of Lease Year 4, on 6 months' notice and payment of unamortized leasing costs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Right of First Offer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Suite 315 (1,100 sq. ft.), if and when it becomes available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Holdover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125% of last-paid Gross Rent, deemed month-to-month tenancy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 Use, Insurance &amp; Assignment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Permitted Use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General office and design-studio use, including client meetings and light prototyping; no retail sales to the public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 Insurance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Commercial General Liability of not less than $3,000,000; All-Risk coverage on improvements and contents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/ Sublease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Landlord consent required, not to be unreasonably withheld; no consent needed for transfer to an affiliate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Environmental Compliance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Tenant to maintain compliance with all applicable environmental laws; no hazardous materials beyond standard office/design supplies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10. Maintenance &amp; Default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Landlord Maintenance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Structure, roof, base building mechanical/electrical, common areas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 Maintenance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of Premises, fixtures, and any Tenant-installed equipment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Monetary Default Cure Period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days after written notice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Non-Monetary Default Cure Period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 days after written notice</w:t>
            </w:r>
          </w:p>
        </w:tc>
      </w:tr>
    </w:tbl>
    <w:p>
      <w:pPr>
        <w:pBdr>
          <w:top w:val="single" w:color="808080" w:sz="4"/>
        </w:pBdr>
        <w:spacing w:before="400"/>
      </w:pPr>
      <w:r>
        <w:rPr>
          <w:i/>
          <w:iCs/>
          <w:color w:val="808080"/>
          <w:sz w:val="18"/>
          <w:szCs w:val="18"/>
        </w:rPr>
        <w:t xml:space="preserve">This lease abstract is a fictitious sample created for illustrative purposes only and does not represent an actual agreement.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2026-07-28T18:24:30.017Z</dcterms:created>
  <dcterms:modified xsi:type="dcterms:W3CDTF">2026-07-28T18:24:30.059Z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