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>
  <w:body>
    <w:p>
      <w:pPr>
        <w:spacing w:after="60"/>
        <w:jc w:val="center"/>
      </w:pPr>
      <w:r>
        <w:rPr>
          <w:b/>
          <w:bCs/>
          <w:color w:val="1F3864"/>
          <w:sz w:val="40"/>
          <w:szCs w:val="40"/>
        </w:rPr>
        <w:t xml:space="preserve">TENANT RULES &amp; OBLIGATIONS</w:t>
      </w:r>
    </w:p>
    <w:p>
      <w:pPr>
        <w:spacing w:after="300"/>
        <w:jc w:val="center"/>
      </w:pPr>
      <w:r>
        <w:rPr>
          <w:i/>
          <w:iCs/>
          <w:color w:val="808080"/>
          <w:sz w:val="22"/>
          <w:szCs w:val="22"/>
        </w:rPr>
        <w:t xml:space="preserve">Harbor Ridge Business Centre — Suite 310</w:t>
      </w:r>
    </w:p>
    <w:p>
      <w:pPr>
        <w:pStyle w:val="Heading1"/>
        <w:pBdr>
          <w:bottom w:val="single" w:color="1F3864" w:sz="6"/>
        </w:pBdr>
        <w:spacing w:after="150" w:before="300"/>
      </w:pPr>
      <w:r>
        <w:rPr>
          <w:b/>
          <w:bCs/>
          <w:color w:val="1F3864"/>
          <w:sz w:val="26"/>
          <w:szCs w:val="26"/>
        </w:rPr>
        <w:t xml:space="preserve">1. Premises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c>
          <w:tcPr>
            <w:tcW w:type="dxa" w:w="26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Address</w:t>
            </w:r>
          </w:p>
        </w:tc>
        <w:tc>
          <w:tcPr>
            <w:tcW w:type="dxa" w:w="6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740 Cormier Avenue, Suite 310, Winnipeg, MB R3C 2M1</w:t>
            </w:r>
          </w:p>
        </w:tc>
      </w:tr>
      <w:tr>
        <w:tc>
          <w:tcPr>
            <w:tcW w:type="dxa" w:w="26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Tenant</w:t>
            </w:r>
          </w:p>
        </w:tc>
        <w:tc>
          <w:tcPr>
            <w:tcW w:type="dxa" w:w="6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Pinehollow Design Studio Inc.</w:t>
            </w:r>
          </w:p>
        </w:tc>
      </w:tr>
      <w:tr>
        <w:tc>
          <w:tcPr>
            <w:tcW w:type="dxa" w:w="26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Landlord</w:t>
            </w:r>
          </w:p>
        </w:tc>
        <w:tc>
          <w:tcPr>
            <w:tcW w:type="dxa" w:w="6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Cormier Avenue Holdings Ltd.</w:t>
            </w:r>
          </w:p>
        </w:tc>
      </w:tr>
    </w:tbl>
    <w:p>
      <w:pPr>
        <w:pStyle w:val="Heading1"/>
        <w:pBdr>
          <w:bottom w:val="single" w:color="1F3864" w:sz="6"/>
        </w:pBdr>
        <w:spacing w:after="150" w:before="300"/>
      </w:pPr>
      <w:r>
        <w:rPr>
          <w:b/>
          <w:bCs/>
          <w:color w:val="1F3864"/>
          <w:sz w:val="26"/>
          <w:szCs w:val="26"/>
        </w:rPr>
        <w:t xml:space="preserve">2. Use of the Premises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c>
          <w:tcPr>
            <w:tcW w:type="dxa" w:w="26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Permitted Use</w:t>
            </w:r>
          </w:p>
        </w:tc>
        <w:tc>
          <w:tcPr>
            <w:tcW w:type="dxa" w:w="6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General office and design-studio use, including client meetings and light prototyping; no retail sales to the public</w:t>
            </w:r>
          </w:p>
        </w:tc>
      </w:tr>
      <w:tr>
        <w:tc>
          <w:tcPr>
            <w:tcW w:type="dxa" w:w="26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Insurance</w:t>
            </w:r>
          </w:p>
        </w:tc>
        <w:tc>
          <w:tcPr>
            <w:tcW w:type="dxa" w:w="6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Commercial General Liability of not less than $3,000,000; All-Risk coverage on improvements and contents</w:t>
            </w:r>
          </w:p>
        </w:tc>
      </w:tr>
    </w:tbl>
    <w:p>
      <w:pPr>
        <w:pStyle w:val="Heading1"/>
        <w:pBdr>
          <w:bottom w:val="single" w:color="1F3864" w:sz="6"/>
        </w:pBdr>
        <w:spacing w:after="150" w:before="300"/>
      </w:pPr>
      <w:r>
        <w:rPr>
          <w:b/>
          <w:bCs/>
          <w:color w:val="1F3864"/>
          <w:sz w:val="26"/>
          <w:szCs w:val="26"/>
        </w:rPr>
        <w:t xml:space="preserve">3. Transfers &amp; Upkeep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c>
          <w:tcPr>
            <w:tcW w:type="dxa" w:w="26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Assignment &amp; Subletting</w:t>
            </w:r>
          </w:p>
        </w:tc>
        <w:tc>
          <w:tcPr>
            <w:tcW w:type="dxa" w:w="6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Landlord consent required, not to be unreasonably withheld; no consent needed for transfer to an affiliate</w:t>
            </w:r>
          </w:p>
        </w:tc>
      </w:tr>
      <w:tr>
        <w:tc>
          <w:tcPr>
            <w:tcW w:type="dxa" w:w="26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Tenant Maintenance</w:t>
            </w:r>
          </w:p>
        </w:tc>
        <w:tc>
          <w:tcPr>
            <w:tcW w:type="dxa" w:w="6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Interior of Premises, fixtures, and any Tenant-installed equipment</w:t>
            </w:r>
          </w:p>
        </w:tc>
      </w:tr>
    </w:tbl>
    <w:p>
      <w:pPr>
        <w:pStyle w:val="Heading1"/>
        <w:pBdr>
          <w:bottom w:val="single" w:color="1F3864" w:sz="6"/>
        </w:pBdr>
        <w:spacing w:after="150" w:before="300"/>
      </w:pPr>
      <w:r>
        <w:rPr>
          <w:b/>
          <w:bCs/>
          <w:color w:val="1F3864"/>
          <w:sz w:val="26"/>
          <w:szCs w:val="26"/>
        </w:rPr>
        <w:t xml:space="preserve">4. End of Term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c>
          <w:tcPr>
            <w:tcW w:type="dxa" w:w="26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Renewal Options</w:t>
            </w:r>
          </w:p>
        </w:tc>
        <w:tc>
          <w:tcPr>
            <w:tcW w:type="dxa" w:w="6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Two (2) successive 5-year terms at Fair Market Rent; 9 months' prior written notice</w:t>
            </w:r>
          </w:p>
        </w:tc>
      </w:tr>
      <w:tr>
        <w:tc>
          <w:tcPr>
            <w:tcW w:type="dxa" w:w="26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Holdover</w:t>
            </w:r>
          </w:p>
        </w:tc>
        <w:tc>
          <w:tcPr>
            <w:tcW w:type="dxa" w:w="6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125% of last-paid Gross Rent, deemed month-to-month tenancy</w:t>
            </w:r>
          </w:p>
        </w:tc>
      </w:tr>
    </w:tbl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2026-07-28T18:24:30.017Z</dcterms:created>
  <dcterms:modified xsi:type="dcterms:W3CDTF">2026-07-28T18:24:30.059Z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