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Policy-to-Control Mapping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Requirement Catalog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Policy requirement ID and exact requirement statement recorded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Applicability/scope defined (which AI systems/use cases it applies to)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Control Mapping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Mapped control(s) documented (preventive/detective/corrective)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Control owner assigned (single accountable role)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Implementation location captured (system/config/process)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Evidence &amp; Testing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Evidence required defined (logs/exports/tickets; avoid screenshots where possible)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Test method defined (design effectiveness vs operating effectiveness)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Test frequency defined (monthly/quarterly/annual) and data source identified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Gaps &amp; Exceptions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Current status captured (Implemented / Partial / Not Implemented)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Gaps documented with remediation plan, owner, and due date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Exceptions/waivers documented with expiry date and compensating controls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Review &amp; Reporting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Mapping stored in system of record and reviewed on a defined cadence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Metrics defined (coverage %, overdue remediation %, recurring control failures)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