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Regulatory Change Impact Assessment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Change Intake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Regulatory update captured (jurisdiction, effective date, summary)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Applicability assessed (who/what it applies to)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Impact Mapping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Impacted policies identified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Impacted controls identified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Impacted procedures identified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Evidence requirements updated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Execution Plan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Owners assigned (Legal/Compliance/Security/IT) and tasks created with deadlines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Communications/training updates planned (if needed)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Risk register / GRC records updated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Proof &amp; Closure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Proof of completion stored (audit-ready)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Follow-up review date set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