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Third-Party / Vendor Due Diligence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Vendor Basics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Vendor legal entity and product/service scope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Deployment model and hosting region(s)/data residency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Subprocessors list reviewed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AI-Specific Questions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Is customer data used for training? confirmed (and opt-out/no-training configuration documented)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Model/version change notification process documented (release notes; material changes)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Guardrails/moderation options available and configurable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Audit logging and export capability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Security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SSO/MFA/RBAC supported and configured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Encryption in transit and at rest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Security documentation collected (SOC 2/ISO/pen test summary/security whitepaper)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Incident notification commitments and timelines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Privacy &amp; Compliance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DPA reviewed; retention and deletion terms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minimization supported; data export/exit supported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Audit/assessment rights addressed (contract language)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Decision &amp;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Vendor risk rating assigned (Low/Moderate/High/Critical)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Approval decision recorded (Approve / Approve with Conditions / Defer / Reject)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Approval conditions documented (e.g., pilot-only, no PII, logging required)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Re-review cadence and triggers defined (renewal, new features, incidents, model changes)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