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9" w:lineRule="auto"/>
        <w:jc w:val="left"/>
      </w:pPr>
      <w:r>
        <w:rPr>
          <w:rFonts w:ascii="Lato" w:hAnsi="Lato"/>
          <w:b/>
          <w:i w:val="0"/>
          <w:color w:val="188E89"/>
          <w:sz w:val="24"/>
        </w:rPr>
        <w:t>GOVSECURE</w:t>
      </w:r>
    </w:p>
    <w:p>
      <w:pPr>
        <w:spacing w:before="200" w:after="80" w:line="259" w:lineRule="auto"/>
      </w:pPr>
      <w:r>
        <w:rPr>
          <w:rFonts w:ascii="Lato" w:hAnsi="Lato"/>
          <w:b/>
          <w:i w:val="0"/>
          <w:color w:val="133A5E"/>
          <w:sz w:val="48"/>
        </w:rPr>
        <w:t>AI Incident Response Checklist</w:t>
      </w:r>
    </w:p>
    <w:p>
      <w:pPr>
        <w:spacing w:before="0" w:after="240" w:line="259" w:lineRule="auto"/>
      </w:pPr>
      <w:r>
        <w:rPr>
          <w:rFonts w:ascii="Lato" w:hAnsi="Lato"/>
          <w:b w:val="0"/>
          <w:i w:val="0"/>
          <w:color w:val="5B6570"/>
          <w:sz w:val="22"/>
        </w:rPr>
        <w:t>A practical checklist for triaging, containing, investigating, remediating, and closing incidents involving AI tools, models, agents, data exposure, unsafe outputs, or unauthorized AI use.</w:t>
      </w:r>
    </w:p>
    <w:tbl>
      <w:tblPr>
        <w:tblW w:type="auto" w:w="0"/>
        <w:jc w:val="left"/>
        <w:tblLayout w:type="fixed"/>
        <w:tblLook w:firstColumn="1" w:firstRow="1" w:lastColumn="0" w:lastRow="0" w:noHBand="0" w:noVBand="1" w:val="04A0"/>
        <w:tblBorders>
          <w:top w:val="single" w:sz="6" w:color="EAF3F5" w:space="0"/>
          <w:left w:val="single" w:sz="6" w:color="EAF3F5" w:space="0"/>
          <w:bottom w:val="single" w:sz="6" w:color="EAF3F5" w:space="0"/>
          <w:right w:val="single" w:sz="6" w:color="EAF3F5" w:space="0"/>
          <w:insideH w:val="single" w:sz="6" w:color="EAF3F5" w:space="0"/>
          <w:insideV w:val="single" w:sz="6" w:color="EAF3F5" w:space="0"/>
        </w:tblBorders>
      </w:tblPr>
      <w:tblGrid>
        <w:gridCol w:w="14112"/>
      </w:tblGrid>
      <w:tr>
        <w:tc>
          <w:tcPr>
            <w:tcW w:type="dxa" w:w="13968"/>
            <w:shd w:fill="EAF3F5"/>
            <w:tcMar>
              <w:top w:w="120" w:type="dxa"/>
              <w:start w:w="140" w:type="dxa"/>
              <w:bottom w:w="120" w:type="dxa"/>
              <w:end w:w="140" w:type="dxa"/>
            </w:tcMar>
          </w:tcPr>
          <w:p>
            <w:pPr>
              <w:spacing w:before="0" w:after="40" w:line="259" w:lineRule="auto"/>
            </w:pPr>
            <w:r>
              <w:rPr>
                <w:rFonts w:ascii="Lato" w:hAnsi="Lato"/>
                <w:b/>
                <w:i w:val="0"/>
                <w:color w:val="133A5E"/>
                <w:sz w:val="21"/>
              </w:rPr>
              <w:t>Purpose</w:t>
            </w:r>
          </w:p>
          <w:p>
            <w:pPr>
              <w:spacing w:before="0" w:after="0" w:line="259" w:lineRule="auto"/>
            </w:pPr>
            <w:r>
              <w:rPr>
                <w:rFonts w:ascii="Lato" w:hAnsi="Lato"/>
                <w:b w:val="0"/>
                <w:i w:val="0"/>
                <w:color w:val="1F2933"/>
                <w:sz w:val="20"/>
              </w:rPr>
              <w:t>Use this checklist during an active AI-related incident to make sure the response team covers the basics without missing the ugly details: what happened, what data or outputs were affected, how to contain harm, which stakeholders must be notified, and how to close the incident with evidence and lessons learned.</w:t>
            </w:r>
          </w:p>
        </w:tc>
      </w:tr>
    </w:tbl>
    <w:p/>
    <w:tbl>
      <w:tblPr>
        <w:tblW w:type="auto" w:w="0"/>
        <w:jc w:val="left"/>
        <w:tblLayout w:type="fixed"/>
        <w:tblLook w:firstColumn="1" w:firstRow="1" w:lastColumn="0" w:lastRow="0" w:noHBand="0" w:noVBand="1" w:val="04A0"/>
        <w:tblBorders>
          <w:top w:val="single" w:sz="6" w:color="C9D7E2" w:space="0"/>
          <w:left w:val="single" w:sz="6" w:color="C9D7E2" w:space="0"/>
          <w:bottom w:val="single" w:sz="6" w:color="C9D7E2" w:space="0"/>
          <w:right w:val="single" w:sz="6" w:color="C9D7E2" w:space="0"/>
          <w:insideH w:val="single" w:sz="6" w:color="C9D7E2" w:space="0"/>
          <w:insideV w:val="single" w:sz="6" w:color="C9D7E2" w:space="0"/>
        </w:tblBorders>
      </w:tblPr>
      <w:tblGrid>
        <w:gridCol w:w="3492"/>
        <w:gridCol w:w="3492"/>
        <w:gridCol w:w="3492"/>
        <w:gridCol w:w="3492"/>
      </w:tblGrid>
      <w:tr>
        <w:tc>
          <w:tcPr>
            <w:tcW w:type="dxa" w:w="2232"/>
            <w:tcMar>
              <w:top w:w="80" w:type="dxa"/>
              <w:start w:w="110" w:type="dxa"/>
              <w:bottom w:w="80" w:type="dxa"/>
              <w:end w:w="110" w:type="dxa"/>
            </w:tcMar>
            <w:shd w:fill="133A5E"/>
            <w:vAlign w:val="center"/>
          </w:tcPr>
          <w:p>
            <w:pPr>
              <w:spacing w:before="0" w:after="0" w:line="259" w:lineRule="auto"/>
            </w:pPr>
            <w:r>
              <w:rPr>
                <w:rFonts w:ascii="Lato" w:hAnsi="Lato"/>
                <w:b/>
                <w:i w:val="0"/>
                <w:color w:val="FFFFFF"/>
                <w:sz w:val="19"/>
              </w:rPr>
              <w:t>Document Type</w:t>
            </w:r>
          </w:p>
        </w:tc>
        <w:tc>
          <w:tcPr>
            <w:tcW w:type="dxa" w:w="4176"/>
            <w:tcMar>
              <w:top w:w="80" w:type="dxa"/>
              <w:start w:w="110" w:type="dxa"/>
              <w:bottom w:w="80" w:type="dxa"/>
              <w:end w:w="110" w:type="dxa"/>
            </w:tcMar>
            <w:shd w:fill="F6FAFB"/>
            <w:vAlign w:val="center"/>
          </w:tcPr>
          <w:p>
            <w:pPr>
              <w:spacing w:before="0" w:after="0" w:line="259" w:lineRule="auto"/>
            </w:pPr>
            <w:r>
              <w:rPr>
                <w:rFonts w:ascii="Lato" w:hAnsi="Lato"/>
                <w:b w:val="0"/>
                <w:i w:val="0"/>
                <w:color w:val="1F2933"/>
                <w:sz w:val="19"/>
              </w:rPr>
              <w:t>Operational incident checklist</w:t>
            </w:r>
          </w:p>
        </w:tc>
        <w:tc>
          <w:tcPr>
            <w:tcW w:type="dxa" w:w="2232"/>
            <w:tcMar>
              <w:top w:w="80" w:type="dxa"/>
              <w:start w:w="110" w:type="dxa"/>
              <w:bottom w:w="80" w:type="dxa"/>
              <w:end w:w="110" w:type="dxa"/>
            </w:tcMar>
            <w:shd w:fill="133A5E"/>
            <w:vAlign w:val="center"/>
          </w:tcPr>
          <w:p>
            <w:pPr>
              <w:spacing w:before="0" w:after="0" w:line="259" w:lineRule="auto"/>
            </w:pPr>
            <w:r>
              <w:rPr>
                <w:rFonts w:ascii="Lato" w:hAnsi="Lato"/>
                <w:b/>
                <w:i w:val="0"/>
                <w:color w:val="FFFFFF"/>
                <w:sz w:val="19"/>
              </w:rPr>
              <w:t>Version</w:t>
            </w:r>
          </w:p>
        </w:tc>
        <w:tc>
          <w:tcPr>
            <w:tcW w:type="dxa" w:w="5472"/>
            <w:tcMar>
              <w:top w:w="80" w:type="dxa"/>
              <w:start w:w="110" w:type="dxa"/>
              <w:bottom w:w="80" w:type="dxa"/>
              <w:end w:w="110" w:type="dxa"/>
            </w:tcMar>
            <w:shd w:fill="F6FAFB"/>
            <w:vAlign w:val="center"/>
          </w:tcPr>
          <w:p>
            <w:pPr>
              <w:spacing w:before="0" w:after="0" w:line="259" w:lineRule="auto"/>
            </w:pPr>
            <w:r>
              <w:rPr>
                <w:rFonts w:ascii="Lato" w:hAnsi="Lato"/>
                <w:b w:val="0"/>
                <w:i w:val="0"/>
                <w:color w:val="1F2933"/>
                <w:sz w:val="19"/>
              </w:rPr>
              <w:t>1.0</w:t>
            </w:r>
          </w:p>
        </w:tc>
      </w:tr>
      <w:tr>
        <w:tc>
          <w:tcPr>
            <w:tcW w:type="dxa" w:w="2232"/>
            <w:tcMar>
              <w:top w:w="80" w:type="dxa"/>
              <w:start w:w="110" w:type="dxa"/>
              <w:bottom w:w="80" w:type="dxa"/>
              <w:end w:w="110" w:type="dxa"/>
            </w:tcMar>
            <w:shd w:fill="133A5E"/>
            <w:vAlign w:val="center"/>
          </w:tcPr>
          <w:p>
            <w:pPr>
              <w:spacing w:before="0" w:after="0" w:line="259" w:lineRule="auto"/>
            </w:pPr>
            <w:r>
              <w:rPr>
                <w:rFonts w:ascii="Lato" w:hAnsi="Lato"/>
                <w:b/>
                <w:i w:val="0"/>
                <w:color w:val="FFFFFF"/>
                <w:sz w:val="19"/>
              </w:rPr>
              <w:t>Prepared For</w:t>
            </w:r>
          </w:p>
        </w:tc>
        <w:tc>
          <w:tcPr>
            <w:tcW w:type="dxa" w:w="4176"/>
            <w:tcMar>
              <w:top w:w="80" w:type="dxa"/>
              <w:start w:w="110" w:type="dxa"/>
              <w:bottom w:w="80" w:type="dxa"/>
              <w:end w:w="110" w:type="dxa"/>
            </w:tcMar>
            <w:shd w:fill="FFFFFF"/>
            <w:vAlign w:val="center"/>
          </w:tcPr>
          <w:p>
            <w:pPr>
              <w:spacing w:before="0" w:after="0" w:line="259" w:lineRule="auto"/>
            </w:pPr>
            <w:r>
              <w:rPr>
                <w:rFonts w:ascii="Lato" w:hAnsi="Lato"/>
                <w:b w:val="0"/>
                <w:i w:val="0"/>
                <w:color w:val="1F2933"/>
                <w:sz w:val="19"/>
              </w:rPr>
              <w:t>{{COMPANY_NAME}}</w:t>
            </w:r>
          </w:p>
        </w:tc>
        <w:tc>
          <w:tcPr>
            <w:tcW w:type="dxa" w:w="2232"/>
            <w:tcMar>
              <w:top w:w="80" w:type="dxa"/>
              <w:start w:w="110" w:type="dxa"/>
              <w:bottom w:w="80" w:type="dxa"/>
              <w:end w:w="110" w:type="dxa"/>
            </w:tcMar>
            <w:shd w:fill="133A5E"/>
            <w:vAlign w:val="center"/>
          </w:tcPr>
          <w:p>
            <w:pPr>
              <w:spacing w:before="0" w:after="0" w:line="259" w:lineRule="auto"/>
            </w:pPr>
            <w:r>
              <w:rPr>
                <w:rFonts w:ascii="Lato" w:hAnsi="Lato"/>
                <w:b/>
                <w:i w:val="0"/>
                <w:color w:val="FFFFFF"/>
                <w:sz w:val="19"/>
              </w:rPr>
              <w:t>Owner</w:t>
            </w:r>
          </w:p>
        </w:tc>
        <w:tc>
          <w:tcPr>
            <w:tcW w:type="dxa" w:w="5472"/>
            <w:tcMar>
              <w:top w:w="80" w:type="dxa"/>
              <w:start w:w="110" w:type="dxa"/>
              <w:bottom w:w="80" w:type="dxa"/>
              <w:end w:w="110" w:type="dxa"/>
            </w:tcMar>
            <w:shd w:fill="FFFFFF"/>
            <w:vAlign w:val="center"/>
          </w:tcPr>
          <w:p>
            <w:pPr>
              <w:spacing w:before="0" w:after="0" w:line="259" w:lineRule="auto"/>
            </w:pPr>
            <w:r>
              <w:rPr>
                <w:rFonts w:ascii="Lato" w:hAnsi="Lato"/>
                <w:b w:val="0"/>
                <w:i w:val="0"/>
                <w:color w:val="1F2933"/>
                <w:sz w:val="19"/>
              </w:rPr>
              <w:t>{{AI_GOVERNANCE_LEAD / IR LEAD}}</w:t>
            </w:r>
          </w:p>
        </w:tc>
      </w:tr>
      <w:tr>
        <w:tc>
          <w:tcPr>
            <w:tcW w:type="dxa" w:w="2232"/>
            <w:tcMar>
              <w:top w:w="80" w:type="dxa"/>
              <w:start w:w="110" w:type="dxa"/>
              <w:bottom w:w="80" w:type="dxa"/>
              <w:end w:w="110" w:type="dxa"/>
            </w:tcMar>
            <w:shd w:fill="133A5E"/>
            <w:vAlign w:val="center"/>
          </w:tcPr>
          <w:p>
            <w:pPr>
              <w:spacing w:before="0" w:after="0" w:line="259" w:lineRule="auto"/>
            </w:pPr>
            <w:r>
              <w:rPr>
                <w:rFonts w:ascii="Lato" w:hAnsi="Lato"/>
                <w:b/>
                <w:i w:val="0"/>
                <w:color w:val="FFFFFF"/>
                <w:sz w:val="19"/>
              </w:rPr>
              <w:t>Review Cycle</w:t>
            </w:r>
          </w:p>
        </w:tc>
        <w:tc>
          <w:tcPr>
            <w:tcW w:type="dxa" w:w="4176"/>
            <w:tcMar>
              <w:top w:w="80" w:type="dxa"/>
              <w:start w:w="110" w:type="dxa"/>
              <w:bottom w:w="80" w:type="dxa"/>
              <w:end w:w="110" w:type="dxa"/>
            </w:tcMar>
            <w:shd w:fill="F6FAFB"/>
            <w:vAlign w:val="center"/>
          </w:tcPr>
          <w:p>
            <w:pPr>
              <w:spacing w:before="0" w:after="0" w:line="259" w:lineRule="auto"/>
            </w:pPr>
            <w:r>
              <w:rPr>
                <w:rFonts w:ascii="Lato" w:hAnsi="Lato"/>
                <w:b w:val="0"/>
                <w:i w:val="0"/>
                <w:color w:val="1F2933"/>
                <w:sz w:val="19"/>
              </w:rPr>
              <w:t>At least annually and after major incidents</w:t>
            </w:r>
          </w:p>
        </w:tc>
        <w:tc>
          <w:tcPr>
            <w:tcW w:type="dxa" w:w="2232"/>
            <w:tcMar>
              <w:top w:w="80" w:type="dxa"/>
              <w:start w:w="110" w:type="dxa"/>
              <w:bottom w:w="80" w:type="dxa"/>
              <w:end w:w="110" w:type="dxa"/>
            </w:tcMar>
            <w:shd w:fill="133A5E"/>
            <w:vAlign w:val="center"/>
          </w:tcPr>
          <w:p>
            <w:pPr>
              <w:spacing w:before="0" w:after="0" w:line="259" w:lineRule="auto"/>
            </w:pPr>
            <w:r>
              <w:rPr>
                <w:rFonts w:ascii="Lato" w:hAnsi="Lato"/>
                <w:b/>
                <w:i w:val="0"/>
                <w:color w:val="FFFFFF"/>
                <w:sz w:val="19"/>
              </w:rPr>
              <w:t>Related Artifacts</w:t>
            </w:r>
          </w:p>
        </w:tc>
        <w:tc>
          <w:tcPr>
            <w:tcW w:type="dxa" w:w="5472"/>
            <w:tcMar>
              <w:top w:w="80" w:type="dxa"/>
              <w:start w:w="110" w:type="dxa"/>
              <w:bottom w:w="80" w:type="dxa"/>
              <w:end w:w="110" w:type="dxa"/>
            </w:tcMar>
            <w:shd w:fill="F6FAFB"/>
            <w:vAlign w:val="center"/>
          </w:tcPr>
          <w:p>
            <w:pPr>
              <w:spacing w:before="0" w:after="0" w:line="259" w:lineRule="auto"/>
            </w:pPr>
            <w:r>
              <w:rPr>
                <w:rFonts w:ascii="Lato" w:hAnsi="Lato"/>
                <w:b w:val="0"/>
                <w:i w:val="0"/>
                <w:color w:val="1F2933"/>
                <w:sz w:val="19"/>
              </w:rPr>
              <w:t>AI Acceptable Use Policy / AI Use Case Registry</w:t>
            </w:r>
          </w:p>
        </w:tc>
      </w:tr>
      <w:tr>
        <w:tc>
          <w:tcPr>
            <w:tcW w:type="dxa" w:w="2232"/>
            <w:tcMar>
              <w:top w:w="80" w:type="dxa"/>
              <w:start w:w="110" w:type="dxa"/>
              <w:bottom w:w="80" w:type="dxa"/>
              <w:end w:w="110" w:type="dxa"/>
            </w:tcMar>
            <w:shd w:fill="133A5E"/>
            <w:vAlign w:val="center"/>
          </w:tcPr>
          <w:p>
            <w:pPr>
              <w:spacing w:before="0" w:after="0" w:line="259" w:lineRule="auto"/>
            </w:pPr>
            <w:r>
              <w:rPr>
                <w:rFonts w:ascii="Lato" w:hAnsi="Lato"/>
                <w:b/>
                <w:i w:val="0"/>
                <w:color w:val="FFFFFF"/>
                <w:sz w:val="19"/>
              </w:rPr>
              <w:t>Primary Users</w:t>
            </w:r>
          </w:p>
        </w:tc>
        <w:tc>
          <w:tcPr>
            <w:tcW w:type="dxa" w:w="4176"/>
            <w:tcMar>
              <w:top w:w="80" w:type="dxa"/>
              <w:start w:w="110" w:type="dxa"/>
              <w:bottom w:w="80" w:type="dxa"/>
              <w:end w:w="110" w:type="dxa"/>
            </w:tcMar>
            <w:shd w:fill="FFFFFF"/>
            <w:vAlign w:val="center"/>
          </w:tcPr>
          <w:p>
            <w:pPr>
              <w:spacing w:before="0" w:after="0" w:line="259" w:lineRule="auto"/>
            </w:pPr>
            <w:r>
              <w:rPr>
                <w:rFonts w:ascii="Lato" w:hAnsi="Lato"/>
                <w:b w:val="0"/>
                <w:i w:val="0"/>
                <w:color w:val="1F2933"/>
                <w:sz w:val="19"/>
              </w:rPr>
              <w:t>Security, IT, privacy, legal, business owners, incident managers</w:t>
            </w:r>
          </w:p>
        </w:tc>
        <w:tc>
          <w:tcPr>
            <w:tcW w:type="dxa" w:w="2232"/>
            <w:tcMar>
              <w:top w:w="80" w:type="dxa"/>
              <w:start w:w="110" w:type="dxa"/>
              <w:bottom w:w="80" w:type="dxa"/>
              <w:end w:w="110" w:type="dxa"/>
            </w:tcMar>
            <w:shd w:fill="133A5E"/>
            <w:vAlign w:val="center"/>
          </w:tcPr>
          <w:p>
            <w:pPr>
              <w:spacing w:before="0" w:after="0" w:line="259" w:lineRule="auto"/>
            </w:pPr>
            <w:r>
              <w:rPr>
                <w:rFonts w:ascii="Lato" w:hAnsi="Lato"/>
                <w:b/>
                <w:i w:val="0"/>
                <w:color w:val="FFFFFF"/>
                <w:sz w:val="19"/>
              </w:rPr>
              <w:t>Status</w:t>
            </w:r>
          </w:p>
        </w:tc>
        <w:tc>
          <w:tcPr>
            <w:tcW w:type="dxa" w:w="5472"/>
            <w:tcMar>
              <w:top w:w="80" w:type="dxa"/>
              <w:start w:w="110" w:type="dxa"/>
              <w:bottom w:w="80" w:type="dxa"/>
              <w:end w:w="110" w:type="dxa"/>
            </w:tcMar>
            <w:shd w:fill="FFFFFF"/>
            <w:vAlign w:val="center"/>
          </w:tcPr>
          <w:p>
            <w:pPr>
              <w:spacing w:before="0" w:after="0" w:line="259" w:lineRule="auto"/>
            </w:pPr>
            <w:r>
              <w:rPr>
                <w:rFonts w:ascii="Lato" w:hAnsi="Lato"/>
                <w:b w:val="0"/>
                <w:i w:val="0"/>
                <w:color w:val="1F2933"/>
                <w:sz w:val="19"/>
              </w:rPr>
              <w:t>Draft / Approved / In Use</w:t>
            </w:r>
          </w:p>
        </w:tc>
      </w:tr>
    </w:tbl>
    <w:p/>
    <w:p>
      <w:pPr>
        <w:spacing w:before="0" w:after="60" w:line="259" w:lineRule="auto"/>
      </w:pPr>
      <w:r>
        <w:rPr>
          <w:rFonts w:ascii="Lato" w:hAnsi="Lato"/>
          <w:b/>
          <w:i w:val="0"/>
          <w:color w:val="133A5E"/>
          <w:sz w:val="23"/>
        </w:rPr>
        <w:t>How to use this checklist</w:t>
      </w:r>
    </w:p>
    <w:p>
      <w:pPr>
        <w:pStyle w:val="ListBullet"/>
        <w:spacing w:before="0" w:after="0" w:line="259" w:lineRule="auto"/>
      </w:pPr>
      <w:r>
        <w:rPr>
          <w:rFonts w:ascii="Lato" w:hAnsi="Lato"/>
          <w:b w:val="0"/>
          <w:i w:val="0"/>
          <w:color w:val="1F2933"/>
          <w:sz w:val="20"/>
        </w:rPr>
        <w:t>Use it during a live incident or tabletop, not as post-incident fan fiction.</w:t>
      </w:r>
    </w:p>
    <w:p>
      <w:pPr>
        <w:pStyle w:val="ListBullet"/>
        <w:spacing w:before="0" w:after="0" w:line="259" w:lineRule="auto"/>
      </w:pPr>
      <w:r>
        <w:rPr>
          <w:rFonts w:ascii="Lato" w:hAnsi="Lato"/>
          <w:b w:val="0"/>
          <w:i w:val="0"/>
          <w:color w:val="1F2933"/>
          <w:sz w:val="20"/>
        </w:rPr>
        <w:t>If a step is not applicable, mark why; if it is incomplete, name the owner and due date.</w:t>
      </w:r>
    </w:p>
    <w:p>
      <w:pPr>
        <w:pStyle w:val="ListBullet"/>
        <w:spacing w:before="0" w:after="0" w:line="259" w:lineRule="auto"/>
      </w:pPr>
      <w:r>
        <w:rPr>
          <w:rFonts w:ascii="Lato" w:hAnsi="Lato"/>
          <w:b w:val="0"/>
          <w:i w:val="0"/>
          <w:color w:val="1F2933"/>
          <w:sz w:val="20"/>
        </w:rPr>
        <w:t>Log material facts, decisions, and evidence references while the incident is happening.</w:t>
      </w:r>
    </w:p>
    <w:p>
      <w:pPr>
        <w:pStyle w:val="ListBullet"/>
        <w:spacing w:before="0" w:after="0" w:line="259" w:lineRule="auto"/>
      </w:pPr>
      <w:r>
        <w:rPr>
          <w:rFonts w:ascii="Lato" w:hAnsi="Lato"/>
          <w:b w:val="0"/>
          <w:i w:val="0"/>
          <w:color w:val="1F2933"/>
          <w:sz w:val="20"/>
        </w:rPr>
        <w:t>Any confirmed incident should also update the AI Use Case Registry, shadow AI log, and relevant risk or vendor records where applicable.</w:t>
      </w:r>
    </w:p>
    <w:p>
      <w:r>
        <w:br w:type="page"/>
      </w:r>
    </w:p>
    <w:p>
      <w:pPr>
        <w:spacing w:before="60" w:after="40" w:line="259" w:lineRule="auto"/>
      </w:pPr>
      <w:r>
        <w:rPr>
          <w:rFonts w:ascii="Lato" w:hAnsi="Lato"/>
          <w:b/>
          <w:i w:val="0"/>
          <w:color w:val="133A5E"/>
          <w:sz w:val="28"/>
        </w:rPr>
        <w:t>1. Identify and validate the incident</w:t>
      </w:r>
    </w:p>
    <w:p>
      <w:pPr>
        <w:spacing w:before="0" w:after="120" w:line="259" w:lineRule="auto"/>
      </w:pPr>
      <w:r>
        <w:rPr>
          <w:rFonts w:ascii="Lato" w:hAnsi="Lato"/>
          <w:b w:val="0"/>
          <w:i w:val="0"/>
          <w:color w:val="5B6570"/>
          <w:sz w:val="19"/>
        </w:rPr>
        <w:t>Confirm that the event is real enough to open an incident and describe what makes it AI-related.</w:t>
      </w:r>
    </w:p>
    <w:tbl>
      <w:tblPr>
        <w:tblW w:type="auto" w:w="0"/>
        <w:jc w:val="left"/>
        <w:tblLayout w:type="fixed"/>
        <w:tblLook w:firstColumn="1" w:firstRow="1" w:lastColumn="0" w:lastRow="0" w:noHBand="0" w:noVBand="1" w:val="04A0"/>
        <w:tblBorders>
          <w:top w:val="single" w:sz="6" w:color="C9D7E2" w:space="0"/>
          <w:left w:val="single" w:sz="6" w:color="C9D7E2" w:space="0"/>
          <w:bottom w:val="single" w:sz="6" w:color="C9D7E2" w:space="0"/>
          <w:right w:val="single" w:sz="6" w:color="C9D7E2" w:space="0"/>
          <w:insideH w:val="single" w:sz="6" w:color="C9D7E2" w:space="0"/>
          <w:insideV w:val="single" w:sz="6" w:color="C9D7E2" w:space="0"/>
        </w:tblBorders>
      </w:tblPr>
      <w:tblGrid>
        <w:gridCol w:w="3492"/>
        <w:gridCol w:w="3492"/>
        <w:gridCol w:w="3492"/>
        <w:gridCol w:w="3492"/>
      </w:tblGrid>
      <w:tr>
        <w:trPr>
          <w:tblHeader w:val="true"/>
        </w:trPr>
        <w:tc>
          <w:tcPr>
            <w:tcW w:type="dxa" w:w="936"/>
            <w:shd w:fill="133A5E"/>
            <w:tcMar>
              <w:top w:w="82" w:type="dxa"/>
              <w:start w:w="110" w:type="dxa"/>
              <w:bottom w:w="82" w:type="dxa"/>
              <w:end w:w="110" w:type="dxa"/>
            </w:tcMar>
            <w:vAlign w:val="center"/>
          </w:tcPr>
          <w:p>
            <w:pPr>
              <w:spacing w:before="0" w:after="0" w:line="259" w:lineRule="auto"/>
              <w:jc w:val="center"/>
            </w:pPr>
            <w:r>
              <w:rPr>
                <w:rFonts w:ascii="Lato" w:hAnsi="Lato"/>
                <w:b/>
                <w:i w:val="0"/>
                <w:color w:val="FFFFFF"/>
                <w:sz w:val="18"/>
              </w:rPr>
              <w:t>Check</w:t>
            </w:r>
          </w:p>
        </w:tc>
        <w:tc>
          <w:tcPr>
            <w:tcW w:type="dxa" w:w="4680"/>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Required step or confirmation</w:t>
            </w:r>
          </w:p>
        </w:tc>
        <w:tc>
          <w:tcPr>
            <w:tcW w:type="dxa" w:w="4536"/>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What should be covered</w:t>
            </w:r>
          </w:p>
        </w:tc>
        <w:tc>
          <w:tcPr>
            <w:tcW w:type="dxa" w:w="4536"/>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Notes / evidence</w:t>
            </w:r>
          </w:p>
        </w:tc>
      </w:tr>
      <w:tr>
        <w:tc>
          <w:tcPr>
            <w:tcW w:type="dxa" w:w="3492"/>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Capture the initial report and time of discovery.</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Record who reported it, when it was detected, how it was observed, and whether this is active, suspected, or historical.</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492"/>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Describe the AI-related event clearly.</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Examples include prompt leakage, unauthorized AI use, harmful output, model misuse, agent overreach, vendor outage, data exposure, or policy breach.</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492"/>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Identify the impacted tool, model, workflow, or vendor.</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List the AI system, feature, API, embedded product, or shadow AI tool involved.</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492"/>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Confirm whether the issue meets incident criteria.</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Determine whether the event requires formal response versus routine bug handling, quality tuning, or policy coaching.</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bl>
    <w:p/>
    <w:p>
      <w:pPr>
        <w:spacing w:before="60" w:after="40" w:line="259" w:lineRule="auto"/>
      </w:pPr>
      <w:r>
        <w:rPr>
          <w:rFonts w:ascii="Lato" w:hAnsi="Lato"/>
          <w:b/>
          <w:i w:val="0"/>
          <w:color w:val="133A5E"/>
          <w:sz w:val="28"/>
        </w:rPr>
        <w:t>2. Classify severity and activate the response team</w:t>
      </w:r>
    </w:p>
    <w:p>
      <w:pPr>
        <w:spacing w:before="0" w:after="120" w:line="259" w:lineRule="auto"/>
      </w:pPr>
      <w:r>
        <w:rPr>
          <w:rFonts w:ascii="Lato" w:hAnsi="Lato"/>
          <w:b w:val="0"/>
          <w:i w:val="0"/>
          <w:color w:val="5B6570"/>
          <w:sz w:val="19"/>
        </w:rPr>
        <w:t>Decide how serious the issue is and who needs to be pulled in before the incident grows legs.</w:t>
      </w:r>
    </w:p>
    <w:tbl>
      <w:tblPr>
        <w:tblW w:type="auto" w:w="0"/>
        <w:jc w:val="left"/>
        <w:tblLayout w:type="fixed"/>
        <w:tblLook w:firstColumn="1" w:firstRow="1" w:lastColumn="0" w:lastRow="0" w:noHBand="0" w:noVBand="1" w:val="04A0"/>
        <w:tblBorders>
          <w:top w:val="single" w:sz="6" w:color="C9D7E2" w:space="0"/>
          <w:left w:val="single" w:sz="6" w:color="C9D7E2" w:space="0"/>
          <w:bottom w:val="single" w:sz="6" w:color="C9D7E2" w:space="0"/>
          <w:right w:val="single" w:sz="6" w:color="C9D7E2" w:space="0"/>
          <w:insideH w:val="single" w:sz="6" w:color="C9D7E2" w:space="0"/>
          <w:insideV w:val="single" w:sz="6" w:color="C9D7E2" w:space="0"/>
        </w:tblBorders>
      </w:tblPr>
      <w:tblGrid>
        <w:gridCol w:w="3492"/>
        <w:gridCol w:w="3492"/>
        <w:gridCol w:w="3492"/>
        <w:gridCol w:w="3492"/>
      </w:tblGrid>
      <w:tr>
        <w:trPr>
          <w:tblHeader w:val="true"/>
        </w:trPr>
        <w:tc>
          <w:tcPr>
            <w:tcW w:type="dxa" w:w="936"/>
            <w:shd w:fill="133A5E"/>
            <w:tcMar>
              <w:top w:w="82" w:type="dxa"/>
              <w:start w:w="110" w:type="dxa"/>
              <w:bottom w:w="82" w:type="dxa"/>
              <w:end w:w="110" w:type="dxa"/>
            </w:tcMar>
            <w:vAlign w:val="center"/>
          </w:tcPr>
          <w:p>
            <w:pPr>
              <w:spacing w:before="0" w:after="0" w:line="259" w:lineRule="auto"/>
              <w:jc w:val="center"/>
            </w:pPr>
            <w:r>
              <w:rPr>
                <w:rFonts w:ascii="Lato" w:hAnsi="Lato"/>
                <w:b/>
                <w:i w:val="0"/>
                <w:color w:val="FFFFFF"/>
                <w:sz w:val="18"/>
              </w:rPr>
              <w:t>Check</w:t>
            </w:r>
          </w:p>
        </w:tc>
        <w:tc>
          <w:tcPr>
            <w:tcW w:type="dxa" w:w="4680"/>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Required step or confirmation</w:t>
            </w:r>
          </w:p>
        </w:tc>
        <w:tc>
          <w:tcPr>
            <w:tcW w:type="dxa" w:w="4536"/>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What should be covered</w:t>
            </w:r>
          </w:p>
        </w:tc>
        <w:tc>
          <w:tcPr>
            <w:tcW w:type="dxa" w:w="4536"/>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Notes / evidence</w:t>
            </w:r>
          </w:p>
        </w:tc>
      </w:tr>
      <w:tr>
        <w:tc>
          <w:tcPr>
            <w:tcW w:type="dxa" w:w="3492"/>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Assign a provisional severity or priority.</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Use your incident scale based on business impact, data sensitivity, external exposure, operational disruption, or safety implications.</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492"/>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Identify incident lead and core responders.</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Name the coordinator plus security, IT, privacy, legal, vendor management, or business owners as needed.</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492"/>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Decide whether a war room or formal incident bridge is required.</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Use this for high-severity cases, external exposure, or time-sensitive containment decisions.</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492"/>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Record the first executive notification trigger if needed.</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Note whether leadership must be informed immediately based on severity, customer impact, or legal risk.</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bl>
    <w:p/>
    <w:p>
      <w:pPr>
        <w:spacing w:before="60" w:after="40" w:line="259" w:lineRule="auto"/>
      </w:pPr>
      <w:r>
        <w:rPr>
          <w:rFonts w:ascii="Lato" w:hAnsi="Lato"/>
          <w:b/>
          <w:i w:val="0"/>
          <w:color w:val="133A5E"/>
          <w:sz w:val="28"/>
        </w:rPr>
        <w:t>3. Contain the immediate risk</w:t>
      </w:r>
    </w:p>
    <w:p>
      <w:pPr>
        <w:spacing w:before="0" w:after="120" w:line="259" w:lineRule="auto"/>
      </w:pPr>
      <w:r>
        <w:rPr>
          <w:rFonts w:ascii="Lato" w:hAnsi="Lato"/>
          <w:b w:val="0"/>
          <w:i w:val="0"/>
          <w:color w:val="5B6570"/>
          <w:sz w:val="19"/>
        </w:rPr>
        <w:t>The first job is to stop further harm without casually smashing evidence or business continuity in the process.</w:t>
      </w:r>
    </w:p>
    <w:tbl>
      <w:tblPr>
        <w:tblW w:type="auto" w:w="0"/>
        <w:jc w:val="left"/>
        <w:tblLayout w:type="fixed"/>
        <w:tblLook w:firstColumn="1" w:firstRow="1" w:lastColumn="0" w:lastRow="0" w:noHBand="0" w:noVBand="1" w:val="04A0"/>
        <w:tblBorders>
          <w:top w:val="single" w:sz="6" w:color="C9D7E2" w:space="0"/>
          <w:left w:val="single" w:sz="6" w:color="C9D7E2" w:space="0"/>
          <w:bottom w:val="single" w:sz="6" w:color="C9D7E2" w:space="0"/>
          <w:right w:val="single" w:sz="6" w:color="C9D7E2" w:space="0"/>
          <w:insideH w:val="single" w:sz="6" w:color="C9D7E2" w:space="0"/>
          <w:insideV w:val="single" w:sz="6" w:color="C9D7E2" w:space="0"/>
        </w:tblBorders>
      </w:tblPr>
      <w:tblGrid>
        <w:gridCol w:w="3492"/>
        <w:gridCol w:w="3492"/>
        <w:gridCol w:w="3492"/>
        <w:gridCol w:w="3492"/>
      </w:tblGrid>
      <w:tr>
        <w:trPr>
          <w:tblHeader w:val="true"/>
        </w:trPr>
        <w:tc>
          <w:tcPr>
            <w:tcW w:type="dxa" w:w="936"/>
            <w:shd w:fill="133A5E"/>
            <w:tcMar>
              <w:top w:w="82" w:type="dxa"/>
              <w:start w:w="110" w:type="dxa"/>
              <w:bottom w:w="82" w:type="dxa"/>
              <w:end w:w="110" w:type="dxa"/>
            </w:tcMar>
            <w:vAlign w:val="center"/>
          </w:tcPr>
          <w:p>
            <w:pPr>
              <w:spacing w:before="0" w:after="0" w:line="259" w:lineRule="auto"/>
              <w:jc w:val="center"/>
            </w:pPr>
            <w:r>
              <w:rPr>
                <w:rFonts w:ascii="Lato" w:hAnsi="Lato"/>
                <w:b/>
                <w:i w:val="0"/>
                <w:color w:val="FFFFFF"/>
                <w:sz w:val="18"/>
              </w:rPr>
              <w:t>Check</w:t>
            </w:r>
          </w:p>
        </w:tc>
        <w:tc>
          <w:tcPr>
            <w:tcW w:type="dxa" w:w="4680"/>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Required step or confirmation</w:t>
            </w:r>
          </w:p>
        </w:tc>
        <w:tc>
          <w:tcPr>
            <w:tcW w:type="dxa" w:w="4536"/>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What should be covered</w:t>
            </w:r>
          </w:p>
        </w:tc>
        <w:tc>
          <w:tcPr>
            <w:tcW w:type="dxa" w:w="4536"/>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Notes / evidence</w:t>
            </w:r>
          </w:p>
        </w:tc>
      </w:tr>
      <w:tr>
        <w:tc>
          <w:tcPr>
            <w:tcW w:type="dxa" w:w="3492"/>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Decide whether to disable or restrict the AI capability.</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Pause accounts, APIs, plugins, agents, automations, or routing where continued use could worsen harm.</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492"/>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Block unsafe data flows or integrations.</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Suspend file uploads, connectors, token access, shared mailboxes, knowledge sources, or system-to-system actions if necessary.</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492"/>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Preserve business-safe fallback options.</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Define manual workarounds, human review steps, or service degradations so the business can keep breathing.</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492"/>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Document containment decisions and approval.</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Capture who authorized containment, when it happened, and what systems or users were affected.</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bl>
    <w:p/>
    <w:tbl>
      <w:tblPr>
        <w:tblW w:type="auto" w:w="0"/>
        <w:jc w:val="left"/>
        <w:tblLayout w:type="fixed"/>
        <w:tblLook w:firstColumn="1" w:firstRow="1" w:lastColumn="0" w:lastRow="0" w:noHBand="0" w:noVBand="1" w:val="04A0"/>
        <w:tblBorders>
          <w:top w:val="single" w:sz="6" w:color="FDF3EE" w:space="0"/>
          <w:left w:val="single" w:sz="6" w:color="FDF3EE" w:space="0"/>
          <w:bottom w:val="single" w:sz="6" w:color="FDF3EE" w:space="0"/>
          <w:right w:val="single" w:sz="6" w:color="FDF3EE" w:space="0"/>
          <w:insideH w:val="single" w:sz="6" w:color="FDF3EE" w:space="0"/>
          <w:insideV w:val="single" w:sz="6" w:color="FDF3EE" w:space="0"/>
        </w:tblBorders>
      </w:tblPr>
      <w:tblGrid>
        <w:gridCol w:w="13968"/>
      </w:tblGrid>
      <w:tr>
        <w:tc>
          <w:tcPr>
            <w:tcW w:type="dxa" w:w="13968"/>
            <w:shd w:fill="FDF3EE"/>
            <w:tcMar>
              <w:top w:w="95" w:type="dxa"/>
              <w:start w:w="120" w:type="dxa"/>
              <w:bottom w:w="95" w:type="dxa"/>
              <w:end w:w="120" w:type="dxa"/>
            </w:tcMar>
          </w:tcPr>
          <w:p>
            <w:pPr>
              <w:spacing w:before="0" w:after="20" w:line="259" w:lineRule="auto"/>
            </w:pPr>
            <w:r>
              <w:rPr>
                <w:rFonts w:ascii="Lato" w:hAnsi="Lato"/>
                <w:b/>
                <w:i w:val="0"/>
                <w:color w:val="C25B2A"/>
                <w:sz w:val="19"/>
              </w:rPr>
              <w:t>Containment note</w:t>
            </w:r>
          </w:p>
          <w:p>
            <w:pPr>
              <w:spacing w:before="0" w:after="0" w:line="259" w:lineRule="auto"/>
            </w:pPr>
            <w:r>
              <w:rPr>
                <w:rFonts w:ascii="Lato" w:hAnsi="Lato"/>
                <w:b w:val="0"/>
                <w:i w:val="0"/>
                <w:color w:val="1F2933"/>
                <w:sz w:val="18"/>
              </w:rPr>
              <w:t>If the incident involves autonomous actions, outbound integrations, or customer-facing responses, prioritize the fastest safe kill switch available. A graceful shutdown is lovely. A preventable blast radius is not.</w:t>
            </w:r>
          </w:p>
        </w:tc>
      </w:tr>
    </w:tbl>
    <w:p>
      <w:r>
        <w:br w:type="page"/>
      </w:r>
    </w:p>
    <w:p>
      <w:pPr>
        <w:spacing w:before="60" w:after="40" w:line="259" w:lineRule="auto"/>
      </w:pPr>
      <w:r>
        <w:rPr>
          <w:rFonts w:ascii="Lato" w:hAnsi="Lato"/>
          <w:b/>
          <w:i w:val="0"/>
          <w:color w:val="133A5E"/>
          <w:sz w:val="28"/>
        </w:rPr>
        <w:t>4. Preserve evidence and establish facts</w:t>
      </w:r>
    </w:p>
    <w:p>
      <w:pPr>
        <w:spacing w:before="0" w:after="120" w:line="259" w:lineRule="auto"/>
      </w:pPr>
      <w:r>
        <w:rPr>
          <w:rFonts w:ascii="Lato" w:hAnsi="Lato"/>
          <w:b w:val="0"/>
          <w:i w:val="0"/>
          <w:color w:val="5B6570"/>
          <w:sz w:val="19"/>
        </w:rPr>
        <w:t>AI incidents get muddy fast. Evidence discipline matters because memory is a terrible log source.</w:t>
      </w:r>
    </w:p>
    <w:tbl>
      <w:tblPr>
        <w:tblW w:type="auto" w:w="0"/>
        <w:jc w:val="left"/>
        <w:tblLayout w:type="fixed"/>
        <w:tblLook w:firstColumn="1" w:firstRow="1" w:lastColumn="0" w:lastRow="0" w:noHBand="0" w:noVBand="1" w:val="04A0"/>
        <w:tblBorders>
          <w:top w:val="single" w:sz="6" w:color="C9D7E2" w:space="0"/>
          <w:left w:val="single" w:sz="6" w:color="C9D7E2" w:space="0"/>
          <w:bottom w:val="single" w:sz="6" w:color="C9D7E2" w:space="0"/>
          <w:right w:val="single" w:sz="6" w:color="C9D7E2" w:space="0"/>
          <w:insideH w:val="single" w:sz="6" w:color="C9D7E2" w:space="0"/>
          <w:insideV w:val="single" w:sz="6" w:color="C9D7E2" w:space="0"/>
        </w:tblBorders>
      </w:tblPr>
      <w:tblGrid>
        <w:gridCol w:w="3492"/>
        <w:gridCol w:w="3492"/>
        <w:gridCol w:w="3492"/>
        <w:gridCol w:w="3492"/>
      </w:tblGrid>
      <w:tr>
        <w:trPr>
          <w:tblHeader w:val="true"/>
        </w:trPr>
        <w:tc>
          <w:tcPr>
            <w:tcW w:type="dxa" w:w="936"/>
            <w:shd w:fill="133A5E"/>
            <w:tcMar>
              <w:top w:w="82" w:type="dxa"/>
              <w:start w:w="110" w:type="dxa"/>
              <w:bottom w:w="82" w:type="dxa"/>
              <w:end w:w="110" w:type="dxa"/>
            </w:tcMar>
            <w:vAlign w:val="center"/>
          </w:tcPr>
          <w:p>
            <w:pPr>
              <w:spacing w:before="0" w:after="0" w:line="259" w:lineRule="auto"/>
              <w:jc w:val="center"/>
            </w:pPr>
            <w:r>
              <w:rPr>
                <w:rFonts w:ascii="Lato" w:hAnsi="Lato"/>
                <w:b/>
                <w:i w:val="0"/>
                <w:color w:val="FFFFFF"/>
                <w:sz w:val="18"/>
              </w:rPr>
              <w:t>Check</w:t>
            </w:r>
          </w:p>
        </w:tc>
        <w:tc>
          <w:tcPr>
            <w:tcW w:type="dxa" w:w="4680"/>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Required step or confirmation</w:t>
            </w:r>
          </w:p>
        </w:tc>
        <w:tc>
          <w:tcPr>
            <w:tcW w:type="dxa" w:w="4536"/>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What should be covered</w:t>
            </w:r>
          </w:p>
        </w:tc>
        <w:tc>
          <w:tcPr>
            <w:tcW w:type="dxa" w:w="4536"/>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Notes / evidence</w:t>
            </w:r>
          </w:p>
        </w:tc>
      </w:tr>
      <w:tr>
        <w:tc>
          <w:tcPr>
            <w:tcW w:type="dxa" w:w="3492"/>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Preserve relevant logs, prompts, outputs, tickets, and screenshots.</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Capture records from AI platforms, identity systems, applications, proxies, chat histories, audits, or SIEM sources.</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492"/>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Identify the data and users affected.</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Document what information was entered, exposed, processed, or output, and which users, customers, or employees were impacted.</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492"/>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Record the incident timeline as facts emerge.</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Track first observed time, last known good state, containment milestones, and key decisions.</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492"/>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Note uncertainty and known gaps honestly.</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Mark what is confirmed, what is suspected, and what still needs verification.</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bl>
    <w:p/>
    <w:p>
      <w:pPr>
        <w:spacing w:before="60" w:after="40" w:line="259" w:lineRule="auto"/>
      </w:pPr>
      <w:r>
        <w:rPr>
          <w:rFonts w:ascii="Lato" w:hAnsi="Lato"/>
          <w:b/>
          <w:i w:val="0"/>
          <w:color w:val="133A5E"/>
          <w:sz w:val="28"/>
        </w:rPr>
        <w:t>5. Assess impact, exposure, and downstream harm</w:t>
      </w:r>
    </w:p>
    <w:p>
      <w:pPr>
        <w:spacing w:before="0" w:after="120" w:line="259" w:lineRule="auto"/>
      </w:pPr>
      <w:r>
        <w:rPr>
          <w:rFonts w:ascii="Lato" w:hAnsi="Lato"/>
          <w:b w:val="0"/>
          <w:i w:val="0"/>
          <w:color w:val="5B6570"/>
          <w:sz w:val="19"/>
        </w:rPr>
        <w:t>Move beyond the technical event and assess what actually matters to the organization and affected people.</w:t>
      </w:r>
    </w:p>
    <w:tbl>
      <w:tblPr>
        <w:tblW w:type="auto" w:w="0"/>
        <w:jc w:val="left"/>
        <w:tblLayout w:type="fixed"/>
        <w:tblLook w:firstColumn="1" w:firstRow="1" w:lastColumn="0" w:lastRow="0" w:noHBand="0" w:noVBand="1" w:val="04A0"/>
        <w:tblBorders>
          <w:top w:val="single" w:sz="6" w:color="C9D7E2" w:space="0"/>
          <w:left w:val="single" w:sz="6" w:color="C9D7E2" w:space="0"/>
          <w:bottom w:val="single" w:sz="6" w:color="C9D7E2" w:space="0"/>
          <w:right w:val="single" w:sz="6" w:color="C9D7E2" w:space="0"/>
          <w:insideH w:val="single" w:sz="6" w:color="C9D7E2" w:space="0"/>
          <w:insideV w:val="single" w:sz="6" w:color="C9D7E2" w:space="0"/>
        </w:tblBorders>
      </w:tblPr>
      <w:tblGrid>
        <w:gridCol w:w="3492"/>
        <w:gridCol w:w="3492"/>
        <w:gridCol w:w="3492"/>
        <w:gridCol w:w="3492"/>
      </w:tblGrid>
      <w:tr>
        <w:trPr>
          <w:tblHeader w:val="true"/>
        </w:trPr>
        <w:tc>
          <w:tcPr>
            <w:tcW w:type="dxa" w:w="936"/>
            <w:shd w:fill="133A5E"/>
            <w:tcMar>
              <w:top w:w="82" w:type="dxa"/>
              <w:start w:w="110" w:type="dxa"/>
              <w:bottom w:w="82" w:type="dxa"/>
              <w:end w:w="110" w:type="dxa"/>
            </w:tcMar>
            <w:vAlign w:val="center"/>
          </w:tcPr>
          <w:p>
            <w:pPr>
              <w:spacing w:before="0" w:after="0" w:line="259" w:lineRule="auto"/>
              <w:jc w:val="center"/>
            </w:pPr>
            <w:r>
              <w:rPr>
                <w:rFonts w:ascii="Lato" w:hAnsi="Lato"/>
                <w:b/>
                <w:i w:val="0"/>
                <w:color w:val="FFFFFF"/>
                <w:sz w:val="18"/>
              </w:rPr>
              <w:t>Check</w:t>
            </w:r>
          </w:p>
        </w:tc>
        <w:tc>
          <w:tcPr>
            <w:tcW w:type="dxa" w:w="4680"/>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Required step or confirmation</w:t>
            </w:r>
          </w:p>
        </w:tc>
        <w:tc>
          <w:tcPr>
            <w:tcW w:type="dxa" w:w="4536"/>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What should be covered</w:t>
            </w:r>
          </w:p>
        </w:tc>
        <w:tc>
          <w:tcPr>
            <w:tcW w:type="dxa" w:w="4536"/>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Notes / evidence</w:t>
            </w:r>
          </w:p>
        </w:tc>
      </w:tr>
      <w:tr>
        <w:tc>
          <w:tcPr>
            <w:tcW w:type="dxa" w:w="3492"/>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Determine confidentiality, integrity, or availability impact.</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Assess whether data leaked, outputs were manipulated, systems acted incorrectly, or services became unavailable.</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492"/>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Determine whether the incident influenced decisions or actions.</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Check whether people or systems acted on harmful outputs, recommendations, classifications, or generated content.</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492"/>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Identify customer, employee, regulatory, or reputational impact.</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Call out public exposure, HR issues, legal exposure, financial consequences, or trust damage.</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492"/>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Decide whether the issue involves a high-consequence context.</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Flag incidents affecting HR, finance, healthcare, safety, legal, or customer-facing decision processes.</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bl>
    <w:p/>
    <w:p>
      <w:pPr>
        <w:spacing w:before="60" w:after="40" w:line="259" w:lineRule="auto"/>
      </w:pPr>
      <w:r>
        <w:rPr>
          <w:rFonts w:ascii="Lato" w:hAnsi="Lato"/>
          <w:b/>
          <w:i w:val="0"/>
          <w:color w:val="133A5E"/>
          <w:sz w:val="28"/>
        </w:rPr>
        <w:t>6. Escalate and communicate</w:t>
      </w:r>
    </w:p>
    <w:p>
      <w:pPr>
        <w:spacing w:before="0" w:after="120" w:line="259" w:lineRule="auto"/>
      </w:pPr>
      <w:r>
        <w:rPr>
          <w:rFonts w:ascii="Lato" w:hAnsi="Lato"/>
          <w:b w:val="0"/>
          <w:i w:val="0"/>
          <w:color w:val="5B6570"/>
          <w:sz w:val="19"/>
        </w:rPr>
        <w:t>Get the right people involved before communication becomes improvisational theater.</w:t>
      </w:r>
    </w:p>
    <w:tbl>
      <w:tblPr>
        <w:tblW w:type="auto" w:w="0"/>
        <w:jc w:val="left"/>
        <w:tblLayout w:type="fixed"/>
        <w:tblLook w:firstColumn="1" w:firstRow="1" w:lastColumn="0" w:lastRow="0" w:noHBand="0" w:noVBand="1" w:val="04A0"/>
        <w:tblBorders>
          <w:top w:val="single" w:sz="6" w:color="C9D7E2" w:space="0"/>
          <w:left w:val="single" w:sz="6" w:color="C9D7E2" w:space="0"/>
          <w:bottom w:val="single" w:sz="6" w:color="C9D7E2" w:space="0"/>
          <w:right w:val="single" w:sz="6" w:color="C9D7E2" w:space="0"/>
          <w:insideH w:val="single" w:sz="6" w:color="C9D7E2" w:space="0"/>
          <w:insideV w:val="single" w:sz="6" w:color="C9D7E2" w:space="0"/>
        </w:tblBorders>
      </w:tblPr>
      <w:tblGrid>
        <w:gridCol w:w="3492"/>
        <w:gridCol w:w="3492"/>
        <w:gridCol w:w="3492"/>
        <w:gridCol w:w="3492"/>
      </w:tblGrid>
      <w:tr>
        <w:trPr>
          <w:tblHeader w:val="true"/>
        </w:trPr>
        <w:tc>
          <w:tcPr>
            <w:tcW w:type="dxa" w:w="936"/>
            <w:shd w:fill="133A5E"/>
            <w:tcMar>
              <w:top w:w="82" w:type="dxa"/>
              <w:start w:w="110" w:type="dxa"/>
              <w:bottom w:w="82" w:type="dxa"/>
              <w:end w:w="110" w:type="dxa"/>
            </w:tcMar>
            <w:vAlign w:val="center"/>
          </w:tcPr>
          <w:p>
            <w:pPr>
              <w:spacing w:before="0" w:after="0" w:line="259" w:lineRule="auto"/>
              <w:jc w:val="center"/>
            </w:pPr>
            <w:r>
              <w:rPr>
                <w:rFonts w:ascii="Lato" w:hAnsi="Lato"/>
                <w:b/>
                <w:i w:val="0"/>
                <w:color w:val="FFFFFF"/>
                <w:sz w:val="18"/>
              </w:rPr>
              <w:t>Check</w:t>
            </w:r>
          </w:p>
        </w:tc>
        <w:tc>
          <w:tcPr>
            <w:tcW w:type="dxa" w:w="4680"/>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Required step or confirmation</w:t>
            </w:r>
          </w:p>
        </w:tc>
        <w:tc>
          <w:tcPr>
            <w:tcW w:type="dxa" w:w="4536"/>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What should be covered</w:t>
            </w:r>
          </w:p>
        </w:tc>
        <w:tc>
          <w:tcPr>
            <w:tcW w:type="dxa" w:w="4536"/>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Notes / evidence</w:t>
            </w:r>
          </w:p>
        </w:tc>
      </w:tr>
      <w:tr>
        <w:tc>
          <w:tcPr>
            <w:tcW w:type="dxa" w:w="3492"/>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Engage privacy, legal, compliance, and executive stakeholders where triggers apply.</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Use established criteria for personal data, contractual exposure, public communication risk, or regulated obligations.</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492"/>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Assess whether vendor escalation is required.</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Notify the AI vendor or SaaS provider when the incident involves their platform, model, outage, or shared responsibility.</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492"/>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Prepare internal communication guidance.</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Provide a controlled message for help desk, managers, or employees if user action or temporary restrictions are needed.</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492"/>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Evaluate external notification obligations.</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Consider customers, partners, insurers, regulators, or law enforcement if the facts and thresholds support it.</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bl>
    <w:p/>
    <w:tbl>
      <w:tblPr>
        <w:tblW w:type="auto" w:w="0"/>
        <w:jc w:val="left"/>
        <w:tblLayout w:type="fixed"/>
        <w:tblLook w:firstColumn="1" w:firstRow="1" w:lastColumn="0" w:lastRow="0" w:noHBand="0" w:noVBand="1" w:val="04A0"/>
        <w:tblBorders>
          <w:top w:val="single" w:sz="6" w:color="FDF3EE" w:space="0"/>
          <w:left w:val="single" w:sz="6" w:color="FDF3EE" w:space="0"/>
          <w:bottom w:val="single" w:sz="6" w:color="FDF3EE" w:space="0"/>
          <w:right w:val="single" w:sz="6" w:color="FDF3EE" w:space="0"/>
          <w:insideH w:val="single" w:sz="6" w:color="FDF3EE" w:space="0"/>
          <w:insideV w:val="single" w:sz="6" w:color="FDF3EE" w:space="0"/>
        </w:tblBorders>
      </w:tblPr>
      <w:tblGrid>
        <w:gridCol w:w="13968"/>
      </w:tblGrid>
      <w:tr>
        <w:tc>
          <w:tcPr>
            <w:tcW w:type="dxa" w:w="13968"/>
            <w:shd w:fill="FDF3EE"/>
            <w:tcMar>
              <w:top w:w="95" w:type="dxa"/>
              <w:start w:w="120" w:type="dxa"/>
              <w:bottom w:w="95" w:type="dxa"/>
              <w:end w:w="120" w:type="dxa"/>
            </w:tcMar>
          </w:tcPr>
          <w:p>
            <w:pPr>
              <w:spacing w:before="0" w:after="20" w:line="259" w:lineRule="auto"/>
            </w:pPr>
            <w:r>
              <w:rPr>
                <w:rFonts w:ascii="Lato" w:hAnsi="Lato"/>
                <w:b/>
                <w:i w:val="0"/>
                <w:color w:val="C25B2A"/>
                <w:sz w:val="19"/>
              </w:rPr>
              <w:t>Notification note</w:t>
            </w:r>
          </w:p>
          <w:p>
            <w:pPr>
              <w:spacing w:before="0" w:after="0" w:line="259" w:lineRule="auto"/>
            </w:pPr>
            <w:r>
              <w:rPr>
                <w:rFonts w:ascii="Lato" w:hAnsi="Lato"/>
                <w:b w:val="0"/>
                <w:i w:val="0"/>
                <w:color w:val="1F2933"/>
                <w:sz w:val="18"/>
              </w:rPr>
              <w:t>Do not guess on breach, notice, or regulatory thresholds in the heat of the incident. Escalate to privacy and legal early when personal data, customer harm, or contractual commitments may be involved.</w:t>
            </w:r>
          </w:p>
        </w:tc>
      </w:tr>
    </w:tbl>
    <w:p>
      <w:r>
        <w:br w:type="page"/>
      </w:r>
    </w:p>
    <w:p>
      <w:pPr>
        <w:spacing w:before="60" w:after="40" w:line="259" w:lineRule="auto"/>
      </w:pPr>
      <w:r>
        <w:rPr>
          <w:rFonts w:ascii="Lato" w:hAnsi="Lato"/>
          <w:b/>
          <w:i w:val="0"/>
          <w:color w:val="133A5E"/>
          <w:sz w:val="28"/>
        </w:rPr>
        <w:t>7. Eradicate the root cause or unsafe condition</w:t>
      </w:r>
    </w:p>
    <w:p>
      <w:pPr>
        <w:spacing w:before="0" w:after="120" w:line="259" w:lineRule="auto"/>
      </w:pPr>
      <w:r>
        <w:rPr>
          <w:rFonts w:ascii="Lato" w:hAnsi="Lato"/>
          <w:b w:val="0"/>
          <w:i w:val="0"/>
          <w:color w:val="5B6570"/>
          <w:sz w:val="19"/>
        </w:rPr>
        <w:t>Containment buys time; eradication is where you remove the cause, not just the symptom wearing a fake moustache.</w:t>
      </w:r>
    </w:p>
    <w:tbl>
      <w:tblPr>
        <w:tblW w:type="auto" w:w="0"/>
        <w:jc w:val="left"/>
        <w:tblLayout w:type="fixed"/>
        <w:tblLook w:firstColumn="1" w:firstRow="1" w:lastColumn="0" w:lastRow="0" w:noHBand="0" w:noVBand="1" w:val="04A0"/>
        <w:tblBorders>
          <w:top w:val="single" w:sz="6" w:color="C9D7E2" w:space="0"/>
          <w:left w:val="single" w:sz="6" w:color="C9D7E2" w:space="0"/>
          <w:bottom w:val="single" w:sz="6" w:color="C9D7E2" w:space="0"/>
          <w:right w:val="single" w:sz="6" w:color="C9D7E2" w:space="0"/>
          <w:insideH w:val="single" w:sz="6" w:color="C9D7E2" w:space="0"/>
          <w:insideV w:val="single" w:sz="6" w:color="C9D7E2" w:space="0"/>
        </w:tblBorders>
      </w:tblPr>
      <w:tblGrid>
        <w:gridCol w:w="3492"/>
        <w:gridCol w:w="3492"/>
        <w:gridCol w:w="3492"/>
        <w:gridCol w:w="3492"/>
      </w:tblGrid>
      <w:tr>
        <w:trPr>
          <w:tblHeader w:val="true"/>
        </w:trPr>
        <w:tc>
          <w:tcPr>
            <w:tcW w:type="dxa" w:w="936"/>
            <w:shd w:fill="133A5E"/>
            <w:tcMar>
              <w:top w:w="82" w:type="dxa"/>
              <w:start w:w="110" w:type="dxa"/>
              <w:bottom w:w="82" w:type="dxa"/>
              <w:end w:w="110" w:type="dxa"/>
            </w:tcMar>
            <w:vAlign w:val="center"/>
          </w:tcPr>
          <w:p>
            <w:pPr>
              <w:spacing w:before="0" w:after="0" w:line="259" w:lineRule="auto"/>
              <w:jc w:val="center"/>
            </w:pPr>
            <w:r>
              <w:rPr>
                <w:rFonts w:ascii="Lato" w:hAnsi="Lato"/>
                <w:b/>
                <w:i w:val="0"/>
                <w:color w:val="FFFFFF"/>
                <w:sz w:val="18"/>
              </w:rPr>
              <w:t>Check</w:t>
            </w:r>
          </w:p>
        </w:tc>
        <w:tc>
          <w:tcPr>
            <w:tcW w:type="dxa" w:w="4680"/>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Required step or confirmation</w:t>
            </w:r>
          </w:p>
        </w:tc>
        <w:tc>
          <w:tcPr>
            <w:tcW w:type="dxa" w:w="4536"/>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What should be covered</w:t>
            </w:r>
          </w:p>
        </w:tc>
        <w:tc>
          <w:tcPr>
            <w:tcW w:type="dxa" w:w="4536"/>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Notes / evidence</w:t>
            </w:r>
          </w:p>
        </w:tc>
      </w:tr>
      <w:tr>
        <w:tc>
          <w:tcPr>
            <w:tcW w:type="dxa" w:w="3492"/>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Identify the likely root cause or failure mode.</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Examples include weak access control, bad configuration, risky vendor behavior, shadow AI use, poor prompts, absent guardrails, or broken oversight.</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492"/>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Implement corrective technical or process changes.</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Rotate keys, disable plugins, patch workflows, tighten access, add filtering, revise prompts, or change integrations as needed.</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492"/>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Remove or remediate unauthorized AI usage.</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Address shadow AI tools, unapproved accounts, or workflows that bypassed governance requirements.</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492"/>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Confirm whether additional validation is needed before re-enabling service.</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Define what evidence, testing, or approvals must exist before rollback or go-live.</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bl>
    <w:p/>
    <w:p>
      <w:pPr>
        <w:spacing w:before="60" w:after="40" w:line="259" w:lineRule="auto"/>
      </w:pPr>
      <w:r>
        <w:rPr>
          <w:rFonts w:ascii="Lato" w:hAnsi="Lato"/>
          <w:b/>
          <w:i w:val="0"/>
          <w:color w:val="133A5E"/>
          <w:sz w:val="28"/>
        </w:rPr>
        <w:t>8. Recover safely and monitor</w:t>
      </w:r>
    </w:p>
    <w:p>
      <w:pPr>
        <w:spacing w:before="0" w:after="120" w:line="259" w:lineRule="auto"/>
      </w:pPr>
      <w:r>
        <w:rPr>
          <w:rFonts w:ascii="Lato" w:hAnsi="Lato"/>
          <w:b w:val="0"/>
          <w:i w:val="0"/>
          <w:color w:val="5B6570"/>
          <w:sz w:val="19"/>
        </w:rPr>
        <w:t>Recovery is not just turning it back on and hoping the ghost has left the machine.</w:t>
      </w:r>
    </w:p>
    <w:tbl>
      <w:tblPr>
        <w:tblW w:type="auto" w:w="0"/>
        <w:jc w:val="left"/>
        <w:tblLayout w:type="fixed"/>
        <w:tblLook w:firstColumn="1" w:firstRow="1" w:lastColumn="0" w:lastRow="0" w:noHBand="0" w:noVBand="1" w:val="04A0"/>
        <w:tblBorders>
          <w:top w:val="single" w:sz="6" w:color="C9D7E2" w:space="0"/>
          <w:left w:val="single" w:sz="6" w:color="C9D7E2" w:space="0"/>
          <w:bottom w:val="single" w:sz="6" w:color="C9D7E2" w:space="0"/>
          <w:right w:val="single" w:sz="6" w:color="C9D7E2" w:space="0"/>
          <w:insideH w:val="single" w:sz="6" w:color="C9D7E2" w:space="0"/>
          <w:insideV w:val="single" w:sz="6" w:color="C9D7E2" w:space="0"/>
        </w:tblBorders>
      </w:tblPr>
      <w:tblGrid>
        <w:gridCol w:w="3492"/>
        <w:gridCol w:w="3492"/>
        <w:gridCol w:w="3492"/>
        <w:gridCol w:w="3492"/>
      </w:tblGrid>
      <w:tr>
        <w:trPr>
          <w:tblHeader w:val="true"/>
        </w:trPr>
        <w:tc>
          <w:tcPr>
            <w:tcW w:type="dxa" w:w="936"/>
            <w:shd w:fill="133A5E"/>
            <w:tcMar>
              <w:top w:w="82" w:type="dxa"/>
              <w:start w:w="110" w:type="dxa"/>
              <w:bottom w:w="82" w:type="dxa"/>
              <w:end w:w="110" w:type="dxa"/>
            </w:tcMar>
            <w:vAlign w:val="center"/>
          </w:tcPr>
          <w:p>
            <w:pPr>
              <w:spacing w:before="0" w:after="0" w:line="259" w:lineRule="auto"/>
              <w:jc w:val="center"/>
            </w:pPr>
            <w:r>
              <w:rPr>
                <w:rFonts w:ascii="Lato" w:hAnsi="Lato"/>
                <w:b/>
                <w:i w:val="0"/>
                <w:color w:val="FFFFFF"/>
                <w:sz w:val="18"/>
              </w:rPr>
              <w:t>Check</w:t>
            </w:r>
          </w:p>
        </w:tc>
        <w:tc>
          <w:tcPr>
            <w:tcW w:type="dxa" w:w="4680"/>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Required step or confirmation</w:t>
            </w:r>
          </w:p>
        </w:tc>
        <w:tc>
          <w:tcPr>
            <w:tcW w:type="dxa" w:w="4536"/>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What should be covered</w:t>
            </w:r>
          </w:p>
        </w:tc>
        <w:tc>
          <w:tcPr>
            <w:tcW w:type="dxa" w:w="4536"/>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Notes / evidence</w:t>
            </w:r>
          </w:p>
        </w:tc>
      </w:tr>
      <w:tr>
        <w:tc>
          <w:tcPr>
            <w:tcW w:type="dxa" w:w="3492"/>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Approve the recovery plan and scope.</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Document what will be restored, for whom, under what restrictions, and with whose approval.</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492"/>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Test the restored capability or workaround.</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Check whether controls now work as intended and whether outputs, access, and data flows behave safely.</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492"/>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Increase monitoring for recurrence or residual risk.</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Add focused logging, alerting, sample review, business-owner checks, or vendor follow-up during the watch period.</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492"/>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Document business acceptance of residual risk if any remains.</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Record any temporary exception, monitoring period, or compensating control that supports recovery.</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bl>
    <w:p/>
    <w:p>
      <w:pPr>
        <w:spacing w:before="60" w:after="40" w:line="259" w:lineRule="auto"/>
      </w:pPr>
      <w:r>
        <w:rPr>
          <w:rFonts w:ascii="Lato" w:hAnsi="Lato"/>
          <w:b/>
          <w:i w:val="0"/>
          <w:color w:val="133A5E"/>
          <w:sz w:val="28"/>
        </w:rPr>
        <w:t>9. Capture lessons learned and governance updates</w:t>
      </w:r>
    </w:p>
    <w:p>
      <w:pPr>
        <w:spacing w:before="0" w:after="120" w:line="259" w:lineRule="auto"/>
      </w:pPr>
      <w:r>
        <w:rPr>
          <w:rFonts w:ascii="Lato" w:hAnsi="Lato"/>
          <w:b w:val="0"/>
          <w:i w:val="0"/>
          <w:color w:val="5B6570"/>
          <w:sz w:val="19"/>
        </w:rPr>
        <w:t>A closed incident that teaches nothing is basically tuition without the degree.</w:t>
      </w:r>
    </w:p>
    <w:tbl>
      <w:tblPr>
        <w:tblW w:type="auto" w:w="0"/>
        <w:jc w:val="left"/>
        <w:tblLayout w:type="fixed"/>
        <w:tblLook w:firstColumn="1" w:firstRow="1" w:lastColumn="0" w:lastRow="0" w:noHBand="0" w:noVBand="1" w:val="04A0"/>
        <w:tblBorders>
          <w:top w:val="single" w:sz="6" w:color="C9D7E2" w:space="0"/>
          <w:left w:val="single" w:sz="6" w:color="C9D7E2" w:space="0"/>
          <w:bottom w:val="single" w:sz="6" w:color="C9D7E2" w:space="0"/>
          <w:right w:val="single" w:sz="6" w:color="C9D7E2" w:space="0"/>
          <w:insideH w:val="single" w:sz="6" w:color="C9D7E2" w:space="0"/>
          <w:insideV w:val="single" w:sz="6" w:color="C9D7E2" w:space="0"/>
        </w:tblBorders>
      </w:tblPr>
      <w:tblGrid>
        <w:gridCol w:w="3492"/>
        <w:gridCol w:w="3492"/>
        <w:gridCol w:w="3492"/>
        <w:gridCol w:w="3492"/>
      </w:tblGrid>
      <w:tr>
        <w:trPr>
          <w:tblHeader w:val="true"/>
        </w:trPr>
        <w:tc>
          <w:tcPr>
            <w:tcW w:type="dxa" w:w="936"/>
            <w:shd w:fill="133A5E"/>
            <w:tcMar>
              <w:top w:w="82" w:type="dxa"/>
              <w:start w:w="110" w:type="dxa"/>
              <w:bottom w:w="82" w:type="dxa"/>
              <w:end w:w="110" w:type="dxa"/>
            </w:tcMar>
            <w:vAlign w:val="center"/>
          </w:tcPr>
          <w:p>
            <w:pPr>
              <w:spacing w:before="0" w:after="0" w:line="259" w:lineRule="auto"/>
              <w:jc w:val="center"/>
            </w:pPr>
            <w:r>
              <w:rPr>
                <w:rFonts w:ascii="Lato" w:hAnsi="Lato"/>
                <w:b/>
                <w:i w:val="0"/>
                <w:color w:val="FFFFFF"/>
                <w:sz w:val="18"/>
              </w:rPr>
              <w:t>Check</w:t>
            </w:r>
          </w:p>
        </w:tc>
        <w:tc>
          <w:tcPr>
            <w:tcW w:type="dxa" w:w="4680"/>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Required step or confirmation</w:t>
            </w:r>
          </w:p>
        </w:tc>
        <w:tc>
          <w:tcPr>
            <w:tcW w:type="dxa" w:w="4536"/>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What should be covered</w:t>
            </w:r>
          </w:p>
        </w:tc>
        <w:tc>
          <w:tcPr>
            <w:tcW w:type="dxa" w:w="4536"/>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Notes / evidence</w:t>
            </w:r>
          </w:p>
        </w:tc>
      </w:tr>
      <w:tr>
        <w:tc>
          <w:tcPr>
            <w:tcW w:type="dxa" w:w="3492"/>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Hold a short lessons-learned review.</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Identify what detection, policy, training, vendor control, or architecture weakness allowed the incident to happen or linger.</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492"/>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Update policies, standards, or procedures where needed.</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Adjust acceptable use rules, incident playbooks, procurement checks, data handling rules, or review gates.</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492"/>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Feed findings into training and awareness.</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Decide what employees, admins, developers, or managers need to be told or retrained on.</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492"/>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Update related risk, vendor, or use-case records.</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Tie the incident to the right use case, vendor file, and governance records so the program actually learns.</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bl>
    <w:p/>
    <w:p/>
    <w:p>
      <w:pPr>
        <w:spacing w:before="60" w:after="40" w:line="259" w:lineRule="auto"/>
      </w:pPr>
      <w:r>
        <w:rPr>
          <w:rFonts w:ascii="Lato" w:hAnsi="Lato"/>
          <w:b/>
          <w:i w:val="0"/>
          <w:color w:val="133A5E"/>
          <w:sz w:val="28"/>
        </w:rPr>
        <w:t>10. Closure, lessons learned, and sign-off</w:t>
      </w:r>
    </w:p>
    <w:p>
      <w:pPr>
        <w:spacing w:before="0" w:after="120" w:line="259" w:lineRule="auto"/>
      </w:pPr>
      <w:r>
        <w:rPr>
          <w:rFonts w:ascii="Lato" w:hAnsi="Lato"/>
          <w:b w:val="0"/>
          <w:i w:val="0"/>
          <w:color w:val="5B6570"/>
          <w:sz w:val="19"/>
        </w:rPr>
        <w:t>Use this final checkpoint before the incident is formally closed, logged, and handed back into business-as-usual governance.</w:t>
      </w:r>
    </w:p>
    <w:tbl>
      <w:tblPr>
        <w:tblW w:type="auto" w:w="0"/>
        <w:jc w:val="left"/>
        <w:tblLayout w:type="fixed"/>
        <w:tblLook w:firstColumn="1" w:firstRow="1" w:lastColumn="0" w:lastRow="0" w:noHBand="0" w:noVBand="1" w:val="04A0"/>
        <w:tblBorders>
          <w:top w:val="single" w:sz="6" w:color="C9D7E2" w:space="0"/>
          <w:left w:val="single" w:sz="6" w:color="C9D7E2" w:space="0"/>
          <w:bottom w:val="single" w:sz="6" w:color="C9D7E2" w:space="0"/>
          <w:right w:val="single" w:sz="6" w:color="C9D7E2" w:space="0"/>
          <w:insideH w:val="single" w:sz="6" w:color="C9D7E2" w:space="0"/>
          <w:insideV w:val="single" w:sz="6" w:color="C9D7E2" w:space="0"/>
        </w:tblBorders>
      </w:tblPr>
      <w:tblGrid>
        <w:gridCol w:w="3492"/>
        <w:gridCol w:w="3492"/>
        <w:gridCol w:w="3492"/>
        <w:gridCol w:w="3492"/>
      </w:tblGrid>
      <w:tr>
        <w:trPr>
          <w:tblHeader w:val="true"/>
        </w:trPr>
        <w:tc>
          <w:tcPr>
            <w:tcW w:type="dxa" w:w="936"/>
            <w:shd w:fill="133A5E"/>
            <w:tcMar>
              <w:top w:w="82" w:type="dxa"/>
              <w:start w:w="110" w:type="dxa"/>
              <w:bottom w:w="82" w:type="dxa"/>
              <w:end w:w="110" w:type="dxa"/>
            </w:tcMar>
            <w:vAlign w:val="center"/>
          </w:tcPr>
          <w:p>
            <w:pPr>
              <w:spacing w:before="0" w:after="0" w:line="259" w:lineRule="auto"/>
              <w:jc w:val="center"/>
            </w:pPr>
            <w:r>
              <w:rPr>
                <w:rFonts w:ascii="Lato" w:hAnsi="Lato"/>
                <w:b/>
                <w:i w:val="0"/>
                <w:color w:val="FFFFFF"/>
                <w:sz w:val="18"/>
              </w:rPr>
              <w:t>Check</w:t>
            </w:r>
          </w:p>
        </w:tc>
        <w:tc>
          <w:tcPr>
            <w:tcW w:type="dxa" w:w="4680"/>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Required step or confirmation</w:t>
            </w:r>
          </w:p>
        </w:tc>
        <w:tc>
          <w:tcPr>
            <w:tcW w:type="dxa" w:w="4536"/>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What should be covered</w:t>
            </w:r>
          </w:p>
        </w:tc>
        <w:tc>
          <w:tcPr>
            <w:tcW w:type="dxa" w:w="4536"/>
            <w:shd w:fill="133A5E"/>
            <w:tcMar>
              <w:top w:w="82" w:type="dxa"/>
              <w:start w:w="110" w:type="dxa"/>
              <w:bottom w:w="82" w:type="dxa"/>
              <w:end w:w="110" w:type="dxa"/>
            </w:tcMar>
            <w:vAlign w:val="center"/>
          </w:tcPr>
          <w:p>
            <w:pPr>
              <w:spacing w:before="0" w:after="0" w:line="259" w:lineRule="auto"/>
              <w:jc w:val="left"/>
            </w:pPr>
            <w:r>
              <w:rPr>
                <w:rFonts w:ascii="Lato" w:hAnsi="Lato"/>
                <w:b/>
                <w:i w:val="0"/>
                <w:color w:val="FFFFFF"/>
                <w:sz w:val="18"/>
              </w:rPr>
              <w:t>Notes / evidence</w:t>
            </w:r>
          </w:p>
        </w:tc>
      </w:tr>
      <w:tr>
        <w:tc>
          <w:tcPr>
            <w:tcW w:type="dxa" w:w="3492"/>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The final incident summary is complete.</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The record includes timeline, root cause hypothesis or finding, impact summary, actions taken, and open residual risks.</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492"/>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Required notifications and communications have been completed or deferred with approval.</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Capture internal notices, customer notices, regulator decisions, vendor notices, or law enforcement engagement where relevant.</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492"/>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Corrective actions and owners have been assigned.</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Document what changes are required to policy, training, technical controls, vendors, or monitoring, and who owns them.</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492"/>
            <w:shd w:fill="FFFFFF"/>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Related governance records have been updated.</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Update the AI Use Case Registry, shadow AI log, vendor file, incident tracker, and control library as needed.</w:t>
            </w:r>
          </w:p>
        </w:tc>
        <w:tc>
          <w:tcPr>
            <w:tcW w:type="dxa" w:w="3492"/>
            <w:shd w:fill="FFFFFF"/>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r>
        <w:tc>
          <w:tcPr>
            <w:tcW w:type="dxa" w:w="3492"/>
            <w:shd w:fill="F6FAFB"/>
            <w:tcMar>
              <w:top w:w="72" w:type="dxa"/>
              <w:start w:w="110" w:type="dxa"/>
              <w:bottom w:w="72" w:type="dxa"/>
              <w:end w:w="110" w:type="dxa"/>
            </w:tcMar>
            <w:vAlign w:val="center"/>
          </w:tcPr>
          <w:p>
            <w:pPr>
              <w:spacing w:before="0" w:after="0" w:line="240" w:lineRule="auto"/>
              <w:jc w:val="center"/>
            </w:pPr>
            <w:r>
              <w:rPr>
                <w:rFonts w:ascii="Lato" w:hAnsi="Lato"/>
                <w:b/>
                <w:i w:val="0"/>
                <w:color w:val="188E89"/>
                <w:sz w:val="20"/>
              </w:rPr>
              <w:t>[ ]</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Closure approval has been recorded.</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t>Mark whether the incident is closed, monitoring-only, or remains open due to pending remediation.</w:t>
            </w:r>
          </w:p>
        </w:tc>
        <w:tc>
          <w:tcPr>
            <w:tcW w:type="dxa" w:w="3492"/>
            <w:shd w:fill="F6FAFB"/>
            <w:tcMar>
              <w:top w:w="72" w:type="dxa"/>
              <w:start w:w="110" w:type="dxa"/>
              <w:bottom w:w="72" w:type="dxa"/>
              <w:end w:w="110" w:type="dxa"/>
            </w:tcMar>
            <w:vAlign w:val="center"/>
          </w:tcPr>
          <w:p>
            <w:pPr>
              <w:spacing w:before="0" w:after="0" w:line="240" w:lineRule="auto"/>
              <w:jc w:val="left"/>
            </w:pPr>
            <w:r>
              <w:rPr>
                <w:rFonts w:ascii="Lato" w:hAnsi="Lato"/>
                <w:b w:val="0"/>
                <w:i w:val="0"/>
                <w:color w:val="1F2933"/>
                <w:sz w:val="18"/>
              </w:rPr>
            </w:r>
          </w:p>
        </w:tc>
      </w:tr>
    </w:tbl>
    <w:p/>
    <w:tbl>
      <w:tblPr>
        <w:tblW w:type="auto" w:w="0"/>
        <w:jc w:val="left"/>
        <w:tblLayout w:type="fixed"/>
        <w:tblLook w:firstColumn="1" w:firstRow="1" w:lastColumn="0" w:lastRow="0" w:noHBand="0" w:noVBand="1" w:val="04A0"/>
        <w:tblBorders>
          <w:top w:val="single" w:sz="6" w:color="C9D7E2" w:space="0"/>
          <w:left w:val="single" w:sz="6" w:color="C9D7E2" w:space="0"/>
          <w:bottom w:val="single" w:sz="6" w:color="C9D7E2" w:space="0"/>
          <w:right w:val="single" w:sz="6" w:color="C9D7E2" w:space="0"/>
          <w:insideH w:val="single" w:sz="6" w:color="C9D7E2" w:space="0"/>
          <w:insideV w:val="single" w:sz="6" w:color="C9D7E2" w:space="0"/>
        </w:tblBorders>
      </w:tblPr>
      <w:tblGrid>
        <w:gridCol w:w="3492"/>
        <w:gridCol w:w="3492"/>
        <w:gridCol w:w="3492"/>
        <w:gridCol w:w="3492"/>
      </w:tblGrid>
      <w:tr>
        <w:tc>
          <w:tcPr>
            <w:tcW w:type="dxa" w:w="2880"/>
            <w:tcMar>
              <w:top w:w="80" w:type="dxa"/>
              <w:start w:w="110" w:type="dxa"/>
              <w:bottom w:w="80" w:type="dxa"/>
              <w:end w:w="110" w:type="dxa"/>
            </w:tcMar>
            <w:shd w:fill="133A5E"/>
            <w:vAlign w:val="center"/>
          </w:tcPr>
          <w:p>
            <w:pPr>
              <w:spacing w:before="0" w:after="0" w:line="259" w:lineRule="auto"/>
            </w:pPr>
            <w:r>
              <w:rPr>
                <w:rFonts w:ascii="Lato" w:hAnsi="Lato"/>
                <w:b/>
                <w:i w:val="0"/>
                <w:color w:val="FFFFFF"/>
                <w:sz w:val="18"/>
              </w:rPr>
              <w:t>Incident ID</w:t>
            </w:r>
          </w:p>
        </w:tc>
        <w:tc>
          <w:tcPr>
            <w:tcW w:type="dxa" w:w="4320"/>
            <w:tcMar>
              <w:top w:w="80" w:type="dxa"/>
              <w:start w:w="110" w:type="dxa"/>
              <w:bottom w:w="80" w:type="dxa"/>
              <w:end w:w="110" w:type="dxa"/>
            </w:tcMar>
            <w:shd w:fill="F6FAFB"/>
            <w:vAlign w:val="center"/>
          </w:tcPr>
          <w:p>
            <w:pPr>
              <w:spacing w:before="0" w:after="0" w:line="259" w:lineRule="auto"/>
            </w:pPr>
            <w:r>
              <w:rPr>
                <w:rFonts w:ascii="Lato" w:hAnsi="Lato"/>
                <w:b w:val="0"/>
                <w:i w:val="0"/>
                <w:color w:val="1F2933"/>
                <w:sz w:val="18"/>
              </w:rPr>
              <w:t>{{INCIDENT_ID}}</w:t>
            </w:r>
          </w:p>
        </w:tc>
        <w:tc>
          <w:tcPr>
            <w:tcW w:type="dxa" w:w="2880"/>
            <w:tcMar>
              <w:top w:w="80" w:type="dxa"/>
              <w:start w:w="110" w:type="dxa"/>
              <w:bottom w:w="80" w:type="dxa"/>
              <w:end w:w="110" w:type="dxa"/>
            </w:tcMar>
            <w:shd w:fill="133A5E"/>
            <w:vAlign w:val="center"/>
          </w:tcPr>
          <w:p>
            <w:pPr>
              <w:spacing w:before="0" w:after="0" w:line="259" w:lineRule="auto"/>
            </w:pPr>
            <w:r>
              <w:rPr>
                <w:rFonts w:ascii="Lato" w:hAnsi="Lato"/>
                <w:b/>
                <w:i w:val="0"/>
                <w:color w:val="FFFFFF"/>
                <w:sz w:val="18"/>
              </w:rPr>
              <w:t>Severity</w:t>
            </w:r>
          </w:p>
        </w:tc>
        <w:tc>
          <w:tcPr>
            <w:tcW w:type="dxa" w:w="4320"/>
            <w:tcMar>
              <w:top w:w="80" w:type="dxa"/>
              <w:start w:w="110" w:type="dxa"/>
              <w:bottom w:w="80" w:type="dxa"/>
              <w:end w:w="110" w:type="dxa"/>
            </w:tcMar>
            <w:shd w:fill="F6FAFB"/>
            <w:vAlign w:val="center"/>
          </w:tcPr>
          <w:p>
            <w:pPr>
              <w:spacing w:before="0" w:after="0" w:line="259" w:lineRule="auto"/>
            </w:pPr>
            <w:r>
              <w:rPr>
                <w:rFonts w:ascii="Lato" w:hAnsi="Lato"/>
                <w:b w:val="0"/>
                <w:i w:val="0"/>
                <w:color w:val="1F2933"/>
                <w:sz w:val="18"/>
              </w:rPr>
              <w:t>{{SEV-1 / SEV-2 / SEV-3}}</w:t>
            </w:r>
          </w:p>
        </w:tc>
      </w:tr>
      <w:tr>
        <w:tc>
          <w:tcPr>
            <w:tcW w:type="dxa" w:w="2880"/>
            <w:tcMar>
              <w:top w:w="80" w:type="dxa"/>
              <w:start w:w="110" w:type="dxa"/>
              <w:bottom w:w="80" w:type="dxa"/>
              <w:end w:w="110" w:type="dxa"/>
            </w:tcMar>
            <w:shd w:fill="133A5E"/>
            <w:vAlign w:val="center"/>
          </w:tcPr>
          <w:p>
            <w:pPr>
              <w:spacing w:before="0" w:after="0" w:line="259" w:lineRule="auto"/>
            </w:pPr>
            <w:r>
              <w:rPr>
                <w:rFonts w:ascii="Lato" w:hAnsi="Lato"/>
                <w:b/>
                <w:i w:val="0"/>
                <w:color w:val="FFFFFF"/>
                <w:sz w:val="18"/>
              </w:rPr>
              <w:t>Incident Lead</w:t>
            </w:r>
          </w:p>
        </w:tc>
        <w:tc>
          <w:tcPr>
            <w:tcW w:type="dxa" w:w="4320"/>
            <w:tcMar>
              <w:top w:w="80" w:type="dxa"/>
              <w:start w:w="110" w:type="dxa"/>
              <w:bottom w:w="80" w:type="dxa"/>
              <w:end w:w="110" w:type="dxa"/>
            </w:tcMar>
            <w:shd w:fill="FFFFFF"/>
            <w:vAlign w:val="center"/>
          </w:tcPr>
          <w:p>
            <w:pPr>
              <w:spacing w:before="0" w:after="0" w:line="259" w:lineRule="auto"/>
            </w:pPr>
            <w:r>
              <w:rPr>
                <w:rFonts w:ascii="Lato" w:hAnsi="Lato"/>
                <w:b w:val="0"/>
                <w:i w:val="0"/>
                <w:color w:val="1F2933"/>
                <w:sz w:val="18"/>
              </w:rPr>
              <w:t>{{NAME}}</w:t>
            </w:r>
          </w:p>
        </w:tc>
        <w:tc>
          <w:tcPr>
            <w:tcW w:type="dxa" w:w="2880"/>
            <w:tcMar>
              <w:top w:w="80" w:type="dxa"/>
              <w:start w:w="110" w:type="dxa"/>
              <w:bottom w:w="80" w:type="dxa"/>
              <w:end w:w="110" w:type="dxa"/>
            </w:tcMar>
            <w:shd w:fill="133A5E"/>
            <w:vAlign w:val="center"/>
          </w:tcPr>
          <w:p>
            <w:pPr>
              <w:spacing w:before="0" w:after="0" w:line="259" w:lineRule="auto"/>
            </w:pPr>
            <w:r>
              <w:rPr>
                <w:rFonts w:ascii="Lato" w:hAnsi="Lato"/>
                <w:b/>
                <w:i w:val="0"/>
                <w:color w:val="FFFFFF"/>
                <w:sz w:val="18"/>
              </w:rPr>
              <w:t>Closure Date</w:t>
            </w:r>
          </w:p>
        </w:tc>
        <w:tc>
          <w:tcPr>
            <w:tcW w:type="dxa" w:w="4320"/>
            <w:tcMar>
              <w:top w:w="80" w:type="dxa"/>
              <w:start w:w="110" w:type="dxa"/>
              <w:bottom w:w="80" w:type="dxa"/>
              <w:end w:w="110" w:type="dxa"/>
            </w:tcMar>
            <w:shd w:fill="FFFFFF"/>
            <w:vAlign w:val="center"/>
          </w:tcPr>
          <w:p>
            <w:pPr>
              <w:spacing w:before="0" w:after="0" w:line="259" w:lineRule="auto"/>
            </w:pPr>
            <w:r>
              <w:rPr>
                <w:rFonts w:ascii="Lato" w:hAnsi="Lato"/>
                <w:b w:val="0"/>
                <w:i w:val="0"/>
                <w:color w:val="1F2933"/>
                <w:sz w:val="18"/>
              </w:rPr>
              <w:t>{{DATE}}</w:t>
            </w:r>
          </w:p>
        </w:tc>
      </w:tr>
      <w:tr>
        <w:tc>
          <w:tcPr>
            <w:tcW w:type="dxa" w:w="2880"/>
            <w:tcMar>
              <w:top w:w="80" w:type="dxa"/>
              <w:start w:w="110" w:type="dxa"/>
              <w:bottom w:w="80" w:type="dxa"/>
              <w:end w:w="110" w:type="dxa"/>
            </w:tcMar>
            <w:shd w:fill="133A5E"/>
            <w:vAlign w:val="center"/>
          </w:tcPr>
          <w:p>
            <w:pPr>
              <w:spacing w:before="0" w:after="0" w:line="259" w:lineRule="auto"/>
            </w:pPr>
            <w:r>
              <w:rPr>
                <w:rFonts w:ascii="Lato" w:hAnsi="Lato"/>
                <w:b/>
                <w:i w:val="0"/>
                <w:color w:val="FFFFFF"/>
                <w:sz w:val="18"/>
              </w:rPr>
              <w:t>Approved by</w:t>
            </w:r>
          </w:p>
        </w:tc>
        <w:tc>
          <w:tcPr>
            <w:tcW w:type="dxa" w:w="4320"/>
            <w:tcMar>
              <w:top w:w="80" w:type="dxa"/>
              <w:start w:w="110" w:type="dxa"/>
              <w:bottom w:w="80" w:type="dxa"/>
              <w:end w:w="110" w:type="dxa"/>
            </w:tcMar>
            <w:shd w:fill="F6FAFB"/>
            <w:vAlign w:val="center"/>
          </w:tcPr>
          <w:p>
            <w:pPr>
              <w:spacing w:before="0" w:after="0" w:line="259" w:lineRule="auto"/>
            </w:pPr>
            <w:r>
              <w:rPr>
                <w:rFonts w:ascii="Lato" w:hAnsi="Lato"/>
                <w:b w:val="0"/>
                <w:i w:val="0"/>
                <w:color w:val="1F2933"/>
                <w:sz w:val="18"/>
              </w:rPr>
              <w:t>{{SECURITY / BUSINESS / PRIVACY LEAD}}</w:t>
            </w:r>
          </w:p>
        </w:tc>
        <w:tc>
          <w:tcPr>
            <w:tcW w:type="dxa" w:w="2880"/>
            <w:tcMar>
              <w:top w:w="80" w:type="dxa"/>
              <w:start w:w="110" w:type="dxa"/>
              <w:bottom w:w="80" w:type="dxa"/>
              <w:end w:w="110" w:type="dxa"/>
            </w:tcMar>
            <w:shd w:fill="133A5E"/>
            <w:vAlign w:val="center"/>
          </w:tcPr>
          <w:p>
            <w:pPr>
              <w:spacing w:before="0" w:after="0" w:line="259" w:lineRule="auto"/>
            </w:pPr>
            <w:r>
              <w:rPr>
                <w:rFonts w:ascii="Lato" w:hAnsi="Lato"/>
                <w:b/>
                <w:i w:val="0"/>
                <w:color w:val="FFFFFF"/>
                <w:sz w:val="18"/>
              </w:rPr>
              <w:t>Status</w:t>
            </w:r>
          </w:p>
        </w:tc>
        <w:tc>
          <w:tcPr>
            <w:tcW w:type="dxa" w:w="4320"/>
            <w:tcMar>
              <w:top w:w="80" w:type="dxa"/>
              <w:start w:w="110" w:type="dxa"/>
              <w:bottom w:w="80" w:type="dxa"/>
              <w:end w:w="110" w:type="dxa"/>
            </w:tcMar>
            <w:shd w:fill="F6FAFB"/>
            <w:vAlign w:val="center"/>
          </w:tcPr>
          <w:p>
            <w:pPr>
              <w:spacing w:before="0" w:after="0" w:line="259" w:lineRule="auto"/>
            </w:pPr>
            <w:r>
              <w:rPr>
                <w:rFonts w:ascii="Lato" w:hAnsi="Lato"/>
                <w:b w:val="0"/>
                <w:i w:val="0"/>
                <w:color w:val="1F2933"/>
                <w:sz w:val="18"/>
              </w:rPr>
              <w:t>{{CLOSED / MONITORING / OPEN}}</w:t>
            </w:r>
          </w:p>
        </w:tc>
      </w:tr>
      <w:tr>
        <w:tc>
          <w:tcPr>
            <w:tcW w:type="dxa" w:w="2880"/>
            <w:tcMar>
              <w:top w:w="80" w:type="dxa"/>
              <w:start w:w="110" w:type="dxa"/>
              <w:bottom w:w="80" w:type="dxa"/>
              <w:end w:w="110" w:type="dxa"/>
            </w:tcMar>
            <w:shd w:fill="133A5E"/>
            <w:vAlign w:val="center"/>
          </w:tcPr>
          <w:p>
            <w:pPr>
              <w:spacing w:before="0" w:after="0" w:line="259" w:lineRule="auto"/>
            </w:pPr>
            <w:r>
              <w:rPr>
                <w:rFonts w:ascii="Lato" w:hAnsi="Lato"/>
                <w:b/>
                <w:i w:val="0"/>
                <w:color w:val="FFFFFF"/>
                <w:sz w:val="18"/>
              </w:rPr>
              <w:t>Next Review Date</w:t>
            </w:r>
          </w:p>
        </w:tc>
        <w:tc>
          <w:tcPr>
            <w:tcW w:type="dxa" w:w="4320"/>
            <w:tcMar>
              <w:top w:w="80" w:type="dxa"/>
              <w:start w:w="110" w:type="dxa"/>
              <w:bottom w:w="80" w:type="dxa"/>
              <w:end w:w="110" w:type="dxa"/>
            </w:tcMar>
            <w:shd w:fill="FFFFFF"/>
            <w:vAlign w:val="center"/>
          </w:tcPr>
          <w:p>
            <w:pPr>
              <w:spacing w:before="0" w:after="0" w:line="259" w:lineRule="auto"/>
            </w:pPr>
            <w:r>
              <w:rPr>
                <w:rFonts w:ascii="Lato" w:hAnsi="Lato"/>
                <w:b w:val="0"/>
                <w:i w:val="0"/>
                <w:color w:val="1F2933"/>
                <w:sz w:val="18"/>
              </w:rPr>
              <w:t>{{DATE}}</w:t>
            </w:r>
          </w:p>
        </w:tc>
        <w:tc>
          <w:tcPr>
            <w:tcW w:type="dxa" w:w="2880"/>
            <w:tcMar>
              <w:top w:w="80" w:type="dxa"/>
              <w:start w:w="110" w:type="dxa"/>
              <w:bottom w:w="80" w:type="dxa"/>
              <w:end w:w="110" w:type="dxa"/>
            </w:tcMar>
            <w:shd w:fill="133A5E"/>
            <w:vAlign w:val="center"/>
          </w:tcPr>
          <w:p>
            <w:pPr>
              <w:spacing w:before="0" w:after="0" w:line="259" w:lineRule="auto"/>
            </w:pPr>
            <w:r>
              <w:rPr>
                <w:rFonts w:ascii="Lato" w:hAnsi="Lato"/>
                <w:b/>
                <w:i w:val="0"/>
                <w:color w:val="FFFFFF"/>
                <w:sz w:val="18"/>
              </w:rPr>
              <w:t>Reference Links</w:t>
            </w:r>
          </w:p>
        </w:tc>
        <w:tc>
          <w:tcPr>
            <w:tcW w:type="dxa" w:w="4320"/>
            <w:tcMar>
              <w:top w:w="80" w:type="dxa"/>
              <w:start w:w="110" w:type="dxa"/>
              <w:bottom w:w="80" w:type="dxa"/>
              <w:end w:w="110" w:type="dxa"/>
            </w:tcMar>
            <w:shd w:fill="FFFFFF"/>
            <w:vAlign w:val="center"/>
          </w:tcPr>
          <w:p>
            <w:pPr>
              <w:spacing w:before="0" w:after="0" w:line="259" w:lineRule="auto"/>
            </w:pPr>
            <w:r>
              <w:rPr>
                <w:rFonts w:ascii="Lato" w:hAnsi="Lato"/>
                <w:b w:val="0"/>
                <w:i w:val="0"/>
                <w:color w:val="1F2933"/>
                <w:sz w:val="18"/>
              </w:rPr>
              <w:t>{{CASE / TICKET / REGISTRY ENTRY}}</w:t>
            </w:r>
          </w:p>
        </w:tc>
      </w:tr>
    </w:tbl>
    <w:sectPr w:rsidR="00FC693F" w:rsidRPr="0006063C" w:rsidSect="00034616">
      <w:footerReference w:type="default" r:id="rId9"/>
      <w:pgSz w:w="15840" w:h="12240" w:orient="landscape"/>
      <w:pgMar w:top="893"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59" w:lineRule="auto"/>
      <w:jc w:val="center"/>
    </w:pPr>
    <w:r>
      <w:rPr>
        <w:rFonts w:ascii="Lato" w:hAnsi="Lato"/>
        <w:b w:val="0"/>
        <w:i w:val="0"/>
        <w:color w:val="5B6570"/>
        <w:sz w:val="17"/>
      </w:rPr>
      <w:t>GovSecure | Checklist Library | AI Incident Response Checklist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