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left"/>
      </w:pPr>
      <w:r>
        <w:rPr>
          <w:rFonts w:ascii="Aptos" w:hAnsi="Aptos"/>
          <w:b w:val="0"/>
          <w:color w:val="2F5E87"/>
          <w:sz w:val="16"/>
        </w:rPr>
        <w:t>GOVSECURE</w:t>
      </w:r>
    </w:p>
    <w:p>
      <w:pPr>
        <w:spacing w:before="0" w:after="80" w:line="276" w:lineRule="auto"/>
        <w:jc w:val="left"/>
      </w:pPr>
      <w:r>
        <w:rPr>
          <w:rFonts w:ascii="Aptos" w:hAnsi="Aptos"/>
          <w:b/>
          <w:color w:val="113E67"/>
          <w:sz w:val="34"/>
        </w:rPr>
        <w:t>AI Procurement Review Checklist</w:t>
      </w:r>
    </w:p>
    <w:p>
      <w:pPr>
        <w:spacing w:before="0" w:after="160" w:line="276" w:lineRule="auto"/>
        <w:jc w:val="left"/>
      </w:pPr>
      <w:r>
        <w:rPr>
          <w:rFonts w:ascii="Aptos" w:hAnsi="Aptos"/>
          <w:b w:val="0"/>
          <w:color w:val="6B7280"/>
          <w:sz w:val="18"/>
        </w:rPr>
        <w:t>A practical, client-ready checklist for evaluating AI tools, AI-enabled vendors, and AI procurement decisions before purchase, renewal, or expansion.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6EE"/>
          <w:left w:val="single" w:sz="6" w:space="0" w:color="DDE6EE"/>
          <w:bottom w:val="single" w:sz="6" w:space="0" w:color="DDE6EE"/>
          <w:right w:val="single" w:sz="6" w:space="0" w:color="DDE6EE"/>
          <w:insideH w:val="single" w:sz="6" w:space="0" w:color="DDE6EE"/>
          <w:insideV w:val="single" w:sz="6" w:space="0" w:color="DDE6EE"/>
        </w:tblBorders>
      </w:tblPr>
      <w:tblGrid>
        <w:gridCol w:w="10224"/>
      </w:tblGrid>
      <w:tr>
        <w:tc>
          <w:tcPr>
            <w:tcW w:type="dxa" w:w="9504"/>
            <w:shd w:fill="EAF1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Purpose</w:t>
              <w:br/>
              <w:t>Use this checklist to confirm that business need, security, privacy, legal, procurement, operational, and AI-specific governance requirements have been reviewed before an AI product is purchased, renewed, materially changed, or broadly deployed.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Document Type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Operational Checklist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Version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1.0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Owner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AI GOVERNANCE LEAD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Review Cycle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At least annually or upon major AI procurement change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Related Artifact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AI Vendor Risk Review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Primary Users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Procurement, IT, Security, Privacy, Legal, Business Owner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Draft / Approved / In Use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AI tools, AI-enabled SaaS, copilots, model APIs, embedded AI features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Trigger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New purchase, renewal, upgrade, high-risk change</w:t>
            </w:r>
          </w:p>
        </w:tc>
      </w:tr>
    </w:tbl>
    <w:p/>
    <w:p>
      <w:pPr>
        <w:spacing w:before="0" w:after="60" w:line="276" w:lineRule="auto"/>
        <w:jc w:val="left"/>
      </w:pPr>
      <w:r>
        <w:rPr>
          <w:rFonts w:ascii="Aptos" w:hAnsi="Aptos"/>
          <w:b/>
          <w:color w:val="113E67"/>
          <w:sz w:val="21"/>
        </w:rPr>
        <w:t>How to use this checklist</w:t>
      </w:r>
    </w:p>
    <w:p>
      <w:pPr>
        <w:pStyle w:val="ListBullet"/>
        <w:spacing w:after="40" w:line="269" w:lineRule="auto"/>
        <w:ind w:left="216"/>
      </w:pPr>
      <w:r>
        <w:rPr>
          <w:rFonts w:ascii="Aptos" w:hAnsi="Aptos"/>
          <w:color w:val="1F2937"/>
          <w:sz w:val="18"/>
        </w:rPr>
        <w:t>Use it before a new AI vendor is purchased, before an existing vendor adds material AI features, or before an AI contract is renewed.</w:t>
      </w:r>
    </w:p>
    <w:p>
      <w:pPr>
        <w:pStyle w:val="ListBullet"/>
        <w:spacing w:after="40" w:line="269" w:lineRule="auto"/>
        <w:ind w:left="216"/>
      </w:pPr>
      <w:r>
        <w:rPr>
          <w:rFonts w:ascii="Aptos" w:hAnsi="Aptos"/>
          <w:color w:val="1F2937"/>
          <w:sz w:val="18"/>
        </w:rPr>
        <w:t>Complete the sections in order and capture evidence in the Notes / evidence column.</w:t>
      </w:r>
    </w:p>
    <w:p>
      <w:pPr>
        <w:pStyle w:val="ListBullet"/>
        <w:spacing w:after="40" w:line="269" w:lineRule="auto"/>
        <w:ind w:left="216"/>
      </w:pPr>
      <w:r>
        <w:rPr>
          <w:rFonts w:ascii="Aptos" w:hAnsi="Aptos"/>
          <w:color w:val="1F2937"/>
          <w:sz w:val="18"/>
        </w:rPr>
        <w:t>Escalate any item that cannot be confirmed, any answer that introduces high-risk data or decisions, or any vendor that refuses to provide reasonable assurance evidence.</w:t>
      </w:r>
    </w:p>
    <w:p>
      <w:pPr>
        <w:pStyle w:val="ListBullet"/>
        <w:spacing w:after="40" w:line="269" w:lineRule="auto"/>
        <w:ind w:left="216"/>
      </w:pPr>
      <w:r>
        <w:rPr>
          <w:rFonts w:ascii="Aptos" w:hAnsi="Aptos"/>
          <w:color w:val="1F2937"/>
          <w:sz w:val="18"/>
        </w:rPr>
        <w:t>This checklist supports procurement review; it does not replace detailed security, privacy, legal, or architecture review where required.</w:t>
      </w:r>
    </w:p>
    <w:p>
      <w:r>
        <w:br w:type="page"/>
      </w:r>
    </w:p>
    <w:p>
      <w:pPr>
        <w:spacing w:before="160" w:after="60" w:line="276" w:lineRule="auto"/>
        <w:jc w:val="left"/>
      </w:pPr>
      <w:r>
        <w:rPr>
          <w:rFonts w:ascii="Aptos" w:hAnsi="Aptos"/>
          <w:b/>
          <w:color w:val="113E67"/>
          <w:sz w:val="26"/>
        </w:rPr>
        <w:t>1. Initiate the procurement review</w:t>
      </w:r>
    </w:p>
    <w:p>
      <w:pPr>
        <w:spacing w:before="0" w:after="100" w:line="276" w:lineRule="auto"/>
        <w:jc w:val="left"/>
      </w:pPr>
      <w:r>
        <w:rPr>
          <w:rFonts w:ascii="Aptos" w:hAnsi="Aptos"/>
          <w:b w:val="0"/>
          <w:color w:val="6B7280"/>
          <w:sz w:val="18"/>
        </w:rPr>
        <w:t>Confirm that the AI purchase is in scope and that the request has a named business owner, a real need, and a review trigger.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step or confirmation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should be covered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 / evidence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the procurement trigger.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Identify whether the review is for a new purchase, renewal, expansion, pilot, or material feature change.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Request ticket, business memo, or intake link.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Assign a business owner and reviewer set.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Name the business sponsor plus procurement, IT, security, privacy, legal, and operations contacts as needed.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Owner list and review routing.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Describe the business problem to be solved.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State the operational need, why AI is being considered, and what success should look like.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Problem statement or use-case summary.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 for duplicate or already-approved tools.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whether an approved platform already provides equivalent capability.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Existing-tool review or architecture note.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Set the target decision date.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Define when procurement needs a go / no-go decision and what must be reviewed before then.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Timeline and dependencies.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60" w:line="276" w:lineRule="auto"/>
        <w:jc w:val="left"/>
      </w:pPr>
      <w:r>
        <w:rPr>
          <w:rFonts w:ascii="Aptos" w:hAnsi="Aptos"/>
          <w:b/>
          <w:color w:val="113E67"/>
          <w:sz w:val="26"/>
        </w:rPr>
        <w:t>2. Confirm the business case and sponsorship</w:t>
      </w:r>
    </w:p>
    <w:p>
      <w:pPr>
        <w:spacing w:before="0" w:after="100" w:line="276" w:lineRule="auto"/>
        <w:jc w:val="left"/>
      </w:pPr>
      <w:r>
        <w:rPr>
          <w:rFonts w:ascii="Aptos" w:hAnsi="Aptos"/>
          <w:b w:val="0"/>
          <w:color w:val="6B7280"/>
          <w:sz w:val="18"/>
        </w:rPr>
        <w:t>Make sure the purchase has a clear sponsor, defined value, intended users, and a realistic rollout plan.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step or confirmation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should be covered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 / evidence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Define expected business value.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Capture the expected benefit such as productivity, quality, speed, revenue enablement, customer support, or risk reduction.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Business case, ROI estimate, or expected KPI.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Identify intended users and functions.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List which teams, roles, or geographies will use the tool and whether usage is optional or required.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 groups and volume estimate.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Clarify whether the use is internal or external.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whether outputs are only for internal support or whether customers, partners, or applicants may be affected.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Use-case description.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Identify decision impact.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whether the tool influences hiring, finance, legal, customer decisions, safety, or regulated activities.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Impact statement and escalation flags.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executive or functional sponsorship.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Verify that an accountable leader supports the purchase and accepts ownership of the business outcome.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Named sponsor and approval.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60" w:line="276" w:lineRule="auto"/>
        <w:jc w:val="left"/>
      </w:pPr>
      <w:r>
        <w:rPr>
          <w:rFonts w:ascii="Aptos" w:hAnsi="Aptos"/>
          <w:b/>
          <w:color w:val="113E67"/>
          <w:sz w:val="26"/>
        </w:rPr>
        <w:t>3. Profile the vendor, product, and deployment model</w:t>
      </w:r>
    </w:p>
    <w:p>
      <w:pPr>
        <w:spacing w:before="0" w:after="100" w:line="276" w:lineRule="auto"/>
        <w:jc w:val="left"/>
      </w:pPr>
      <w:r>
        <w:rPr>
          <w:rFonts w:ascii="Aptos" w:hAnsi="Aptos"/>
          <w:b w:val="0"/>
          <w:color w:val="6B7280"/>
          <w:sz w:val="18"/>
        </w:rPr>
        <w:t>Understand exactly what is being bought, how it works, and where it fits in the environment.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step or confirmation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should be covered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 / evidence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Record the full vendor and product name.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Capture the legal vendor name, product name, edition, and licensing model.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Quote, order form, or vendor profile.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Describe the AI capability being purchased.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State whether the solution uses embedded AI, third-party foundation models, custom models, agent workflows, copilots, or model APIs.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Product description or architecture note.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Identify deployment and hosting model.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whether the service is SaaS, API-based, browser-based, desktop, mobile, or on-prem/hybrid.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Vendor documentation.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Identify integrations and dependencies.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List connected systems, plug-ins, browser extensions, identity requirements, or data sources the tool will use.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Integration map.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data residency and service footprint.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Document where the service is hosted and which regions process or store data.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Vendor statement or contract exhibit.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60" w:line="276" w:lineRule="auto"/>
        <w:jc w:val="left"/>
      </w:pPr>
      <w:r>
        <w:rPr>
          <w:rFonts w:ascii="Aptos" w:hAnsi="Aptos"/>
          <w:b/>
          <w:color w:val="113E67"/>
          <w:sz w:val="26"/>
        </w:rPr>
        <w:t>4. Review data handling and privacy expectations</w:t>
      </w:r>
    </w:p>
    <w:p>
      <w:pPr>
        <w:spacing w:before="0" w:after="100" w:line="276" w:lineRule="auto"/>
        <w:jc w:val="left"/>
      </w:pPr>
      <w:r>
        <w:rPr>
          <w:rFonts w:ascii="Aptos" w:hAnsi="Aptos"/>
          <w:b w:val="0"/>
          <w:color w:val="6B7280"/>
          <w:sz w:val="18"/>
        </w:rPr>
        <w:t>AI purchases often fail here. Confirm what data goes in, what data comes out, and what the vendor is allowed to do with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step or confirmation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should be covered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 / evidence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List all planned data inputs.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Identify whether prompts or datasets may contain public, internal, confidential, personal, regulated, or customer data.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Data profile or sample use cases.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 for prohibited or restricted data.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whether highly sensitive data categories are in scope and whether policy allows them in this platform.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Policy cross-check and data classification.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Verify vendor data use terms.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whether customer inputs, outputs, logs, or files are used for model training, fine-tuning, service improvement, or retained beyond business need.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DPA, privacy terms, or vendor FAQ.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deletion and retention behavior.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Understand how long prompts, uploads, logs, and outputs are retained and how deletion is requested.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Retention schedule or contract clause.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 privacy and cross-border requirements.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Determine whether a DPIA, DPA, SCCs, or other privacy review is required before use.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Privacy review notes and legal requirements.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6EE"/>
          <w:left w:val="single" w:sz="6" w:space="0" w:color="DDE6EE"/>
          <w:bottom w:val="single" w:sz="6" w:space="0" w:color="DDE6EE"/>
          <w:right w:val="single" w:sz="6" w:space="0" w:color="DDE6EE"/>
          <w:insideH w:val="single" w:sz="6" w:space="0" w:color="DDE6EE"/>
          <w:insideV w:val="single" w:sz="6" w:space="0" w:color="DDE6EE"/>
        </w:tblBorders>
      </w:tblPr>
      <w:tblGrid>
        <w:gridCol w:w="10224"/>
      </w:tblGrid>
      <w:tr>
        <w:tc>
          <w:tcPr>
            <w:tcW w:type="dxa" w:w="9504"/>
            <w:shd w:fill="F6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Common failure point: teams assume 'enterprise' means data will never be retained or used for training. Verify it in writing.</w:t>
            </w:r>
          </w:p>
        </w:tc>
      </w:tr>
    </w:tbl>
    <w:p/>
    <w:p>
      <w:r>
        <w:br w:type="page"/>
      </w:r>
    </w:p>
    <w:p>
      <w:pPr>
        <w:spacing w:before="160" w:after="60" w:line="276" w:lineRule="auto"/>
        <w:jc w:val="left"/>
      </w:pPr>
      <w:r>
        <w:rPr>
          <w:rFonts w:ascii="Aptos" w:hAnsi="Aptos"/>
          <w:b/>
          <w:color w:val="113E67"/>
          <w:sz w:val="26"/>
        </w:rPr>
        <w:t>5. Review security, identity, and access controls</w:t>
      </w:r>
    </w:p>
    <w:p>
      <w:pPr>
        <w:spacing w:before="0" w:after="100" w:line="276" w:lineRule="auto"/>
        <w:jc w:val="left"/>
      </w:pPr>
      <w:r>
        <w:rPr>
          <w:rFonts w:ascii="Aptos" w:hAnsi="Aptos"/>
          <w:b w:val="0"/>
          <w:color w:val="6B7280"/>
          <w:sz w:val="18"/>
        </w:rPr>
        <w:t>Do not buy a clever AI tool that behaves like an unlocked side door.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step or confirmation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should be covered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 / evidence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identity and authentication options.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 SSO, MFA, federation, SCIM, role-based access control, and support for managed identities or service accounts.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Security questionnaire and admin docs.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Review access model and least privilege.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whether roles can be restricted by function, workspace, project, dataset, or admin capability.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Role matrix or admin screenshots.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Assess encryption and key protections.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 encryption in transit and at rest, plus any options for customer-managed keys or private networking where relevant.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Security whitepaper.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Review logging, alerting, and admin visibility.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whether admins can review usage, monitor access, export logs, and support investigations.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Audit log documentation.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 assurance evidence.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Collect relevant SOC reports, ISO certifications, penetration testing summaries, or equivalent assurance artifacts.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Evidence package.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60" w:line="276" w:lineRule="auto"/>
        <w:jc w:val="left"/>
      </w:pPr>
      <w:r>
        <w:rPr>
          <w:rFonts w:ascii="Aptos" w:hAnsi="Aptos"/>
          <w:b/>
          <w:color w:val="113E67"/>
          <w:sz w:val="26"/>
        </w:rPr>
        <w:t>6. Assess AI-specific governance and model risk</w:t>
      </w:r>
    </w:p>
    <w:p>
      <w:pPr>
        <w:spacing w:before="0" w:after="100" w:line="276" w:lineRule="auto"/>
        <w:jc w:val="left"/>
      </w:pPr>
      <w:r>
        <w:rPr>
          <w:rFonts w:ascii="Aptos" w:hAnsi="Aptos"/>
          <w:b w:val="0"/>
          <w:color w:val="6B7280"/>
          <w:sz w:val="18"/>
        </w:rPr>
        <w:t>This is the section most vendors hope you skip. Do not grant that wish.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step or confirmation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should be covered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 / evidence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model transparency.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Understand whether the vendor discloses which model families are used, whether model providers may change, and what notice is given for material changes.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Product documentation or written response.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Review output reliability safeguards.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 whether the tool supports human review, confidence indicators, grounded retrieval, policy controls, or other mechanisms that reduce harmful output use.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Feature list or governance docs.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Identify automation level.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whether the product only assists humans or whether it can trigger actions, decisions, communications, or workflow execution automatically.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Workflow description.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 for bias, fairness, or sensitive-use concerns.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Determine whether the tool could create discriminatory or inappropriate outcomes in HR, finance, legal, healthcare, education, or other sensitive contexts.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Use-case and legal review notes.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Define required human oversight.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State what human review is required before outputs are relied upon, especially for customer-facing or high-impact decisions.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Operating procedure or control note.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6EE"/>
          <w:left w:val="single" w:sz="6" w:space="0" w:color="DDE6EE"/>
          <w:bottom w:val="single" w:sz="6" w:space="0" w:color="DDE6EE"/>
          <w:right w:val="single" w:sz="6" w:space="0" w:color="DDE6EE"/>
          <w:insideH w:val="single" w:sz="6" w:space="0" w:color="DDE6EE"/>
          <w:insideV w:val="single" w:sz="6" w:space="0" w:color="DDE6EE"/>
        </w:tblBorders>
      </w:tblPr>
      <w:tblGrid>
        <w:gridCol w:w="10224"/>
      </w:tblGrid>
      <w:tr>
        <w:tc>
          <w:tcPr>
            <w:tcW w:type="dxa" w:w="9504"/>
            <w:shd w:fill="F6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Escalation rule: if the tool influences high-impact decisions or automates actions, require explicit human oversight and formal sign-off.</w:t>
            </w:r>
          </w:p>
        </w:tc>
      </w:tr>
    </w:tbl>
    <w:p/>
    <w:p>
      <w:r>
        <w:br w:type="page"/>
      </w:r>
    </w:p>
    <w:p>
      <w:pPr>
        <w:spacing w:before="160" w:after="60" w:line="276" w:lineRule="auto"/>
        <w:jc w:val="left"/>
      </w:pPr>
      <w:r>
        <w:rPr>
          <w:rFonts w:ascii="Aptos" w:hAnsi="Aptos"/>
          <w:b/>
          <w:color w:val="113E67"/>
          <w:sz w:val="26"/>
        </w:rPr>
        <w:t>7. Review commercial, legal, and contractual terms</w:t>
      </w:r>
    </w:p>
    <w:p>
      <w:pPr>
        <w:spacing w:before="0" w:after="100" w:line="276" w:lineRule="auto"/>
        <w:jc w:val="left"/>
      </w:pPr>
      <w:r>
        <w:rPr>
          <w:rFonts w:ascii="Aptos" w:hAnsi="Aptos"/>
          <w:b w:val="0"/>
          <w:color w:val="6B7280"/>
          <w:sz w:val="18"/>
        </w:rPr>
        <w:t>Procurement should not sign a contract that quietly gives away your data, leverage, or exit options.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step or confirmation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should be covered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 / evidence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Review contract structure and pricing.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Understand license metrics, overage risk, API usage pricing, pilot conversion terms, and renewal behavior.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Quote and order form.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security and privacy commitments in contract.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Make sure commercial terms align with the security and privacy promises made during review.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MSA, DPA, security schedule.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 service levels and support obligations.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Review uptime commitments, response targets, support model, and escalation paths.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SLA and support terms.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Assess incident notification and cooperation terms.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whether the contract requires timely incident notice, investigation support, and remediation obligations.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Security addendum or MSA clause.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Review termination, data return, and deletion rights.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 what happens at exit, including data portability, deletion, and dependency unwind.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Termination and data handling clauses.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60" w:line="276" w:lineRule="auto"/>
        <w:jc w:val="left"/>
      </w:pPr>
      <w:r>
        <w:rPr>
          <w:rFonts w:ascii="Aptos" w:hAnsi="Aptos"/>
          <w:b/>
          <w:color w:val="113E67"/>
          <w:sz w:val="26"/>
        </w:rPr>
        <w:t>8. Confirm implementation readiness and operating controls</w:t>
      </w:r>
    </w:p>
    <w:p>
      <w:pPr>
        <w:spacing w:before="0" w:after="100" w:line="276" w:lineRule="auto"/>
        <w:jc w:val="left"/>
      </w:pPr>
      <w:r>
        <w:rPr>
          <w:rFonts w:ascii="Aptos" w:hAnsi="Aptos"/>
          <w:b w:val="0"/>
          <w:color w:val="6B7280"/>
          <w:sz w:val="18"/>
        </w:rPr>
        <w:t>A tool is not ready because the sales demo sparkled. Confirm it can actually be governed in production.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step or confirmation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should be covered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 / evidence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Identify implementation owner and rollout path.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Define who will configure, test, deploy, and support the solution after purchase.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Implementation plan.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Document required safeguards before go-live.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List conditions such as approved data boundaries, configured SSO, logging, admin roles, policy training, or restricted pilot scope.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Go-live checklist.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Plan user guidance and training.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that employees will receive acceptable use guidance, escalation channels, and any role-based instructions.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Training plan or comms draft.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Define ongoing review triggers.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Set when the solution must be re-reviewed, such as vendor feature changes, new integrations, sensitive data use, or expanded automation.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Review cadence and triggers.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registry and recordkeeping updates.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Ensure the purchase and associated use cases will be entered into the AI use case registry or vendor inventory.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Registry owner and entry plan.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6EE"/>
          <w:left w:val="single" w:sz="6" w:space="0" w:color="DDE6EE"/>
          <w:bottom w:val="single" w:sz="6" w:space="0" w:color="DDE6EE"/>
          <w:right w:val="single" w:sz="6" w:space="0" w:color="DDE6EE"/>
          <w:insideH w:val="single" w:sz="6" w:space="0" w:color="DDE6EE"/>
          <w:insideV w:val="single" w:sz="6" w:space="0" w:color="DDE6EE"/>
        </w:tblBorders>
      </w:tblPr>
      <w:tblGrid>
        <w:gridCol w:w="10224"/>
      </w:tblGrid>
      <w:tr>
        <w:tc>
          <w:tcPr>
            <w:tcW w:type="dxa" w:w="9504"/>
            <w:shd w:fill="EAF6E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Minimum go-live expectation: approved identity setup, defined owner, documented safeguards, user guidance, and registry entry.</w:t>
            </w:r>
          </w:p>
        </w:tc>
      </w:tr>
    </w:tbl>
    <w:p/>
    <w:p>
      <w:r>
        <w:br w:type="page"/>
      </w:r>
    </w:p>
    <w:p>
      <w:pPr>
        <w:spacing w:before="160" w:after="60" w:line="276" w:lineRule="auto"/>
        <w:jc w:val="left"/>
      </w:pPr>
      <w:r>
        <w:rPr>
          <w:rFonts w:ascii="Aptos" w:hAnsi="Aptos"/>
          <w:b/>
          <w:color w:val="113E67"/>
          <w:sz w:val="26"/>
        </w:rPr>
        <w:t>9. Finalize the decision and procurement handoff</w:t>
      </w:r>
    </w:p>
    <w:p>
      <w:pPr>
        <w:spacing w:before="0" w:after="100" w:line="276" w:lineRule="auto"/>
        <w:jc w:val="left"/>
      </w:pPr>
      <w:r>
        <w:rPr>
          <w:rFonts w:ascii="Aptos" w:hAnsi="Aptos"/>
          <w:b w:val="0"/>
          <w:color w:val="6B7280"/>
          <w:sz w:val="18"/>
        </w:rPr>
        <w:t>Close the loop with a clear decision, conditions, and accountable owners.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step or confirmation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should be covered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3E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 / evidence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Summarize residual risks.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List open issues, accepted risks, compensating controls, and decisions still pending.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Risk summary.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Record the procurement decision.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Mark approved, approved with conditions, deferred, pilot only, or rejected.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Decision record.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Capture conditions for approval.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State what must happen before contract signature, before pilot, and before full production use.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Condition list.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Assign action owners and due dates.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Name who owns each follow-up item, including procurement, security, business, IT, or legal.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Action tracker.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F5E87"/>
                <w:sz w:val="20"/>
              </w:rPr>
              <w:t>[ ]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Store review evidence.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Save the completed checklist and supporting evidence in the approved repository.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Document location and retention owner.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60" w:line="276" w:lineRule="auto"/>
        <w:jc w:val="left"/>
      </w:pPr>
      <w:r>
        <w:rPr>
          <w:rFonts w:ascii="Aptos" w:hAnsi="Aptos"/>
          <w:b/>
          <w:color w:val="113E67"/>
          <w:sz w:val="26"/>
        </w:rPr>
        <w:t>10. Approval and control record</w:t>
      </w:r>
    </w:p>
    <w:p>
      <w:pPr>
        <w:spacing w:before="0" w:after="100" w:line="276" w:lineRule="auto"/>
        <w:jc w:val="left"/>
      </w:pPr>
      <w:r>
        <w:rPr>
          <w:rFonts w:ascii="Aptos" w:hAnsi="Aptos"/>
          <w:b w:val="0"/>
          <w:color w:val="6B7280"/>
          <w:sz w:val="18"/>
        </w:rPr>
        <w:t>Complete this summary after the checklist review is finished and the procurement decision is made.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Prepared by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{{PROCUREMENT_OR_REQUEST_OWNER}}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Date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{{DATE}}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Reviewed by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{{REVIEWER_NAME}}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Decision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APPROVED / APPROVED WITH CONDITIONS / DEFERRED / REJECTED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Registry ID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{{REGISTRY_ID}}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Risk Review Date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{{DATE}}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Evidence Location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{{REPOSITORY_LINK_OR_PATH}}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Next Review Trigger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{{EVENT}}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5"/>
      </w:rPr>
      <w:t>GovSecure | Checklist Library | AI Procurement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