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Aptos" w:hAnsi="Aptos"/>
          <w:b/>
          <w:i w:val="0"/>
          <w:color w:val="0F274B"/>
          <w:sz w:val="56"/>
        </w:rPr>
        <w:t xml:space="preserve">GovSecure </w:t>
      </w:r>
      <w:r>
        <w:rPr>
          <w:rFonts w:ascii="Aptos" w:hAnsi="Aptos"/>
          <w:b/>
          <w:i w:val="0"/>
          <w:color w:val="1F5FBF"/>
          <w:sz w:val="56"/>
        </w:rPr>
        <w:t>AI Chef™</w:t>
      </w:r>
    </w:p>
    <w:p>
      <w:pPr>
        <w:spacing w:after="120"/>
      </w:pPr>
      <w:r>
        <w:rPr>
          <w:rFonts w:ascii="Aptos" w:hAnsi="Aptos"/>
          <w:b/>
          <w:i w:val="0"/>
          <w:color w:val="0F274B"/>
          <w:sz w:val="44"/>
        </w:rPr>
        <w:t>Enterprise AI Governance Recipe Matrix Toolkit</w:t>
      </w:r>
    </w:p>
    <w:p>
      <w:pPr>
        <w:spacing w:after="400"/>
      </w:pPr>
      <w:r>
        <w:rPr>
          <w:rFonts w:ascii="Aptos" w:hAnsi="Aptos"/>
          <w:b/>
          <w:i w:val="0"/>
          <w:color w:val="6A3FA0"/>
          <w:sz w:val="24"/>
        </w:rPr>
        <w:t>Paid SMB Edition | Client-ready operational toolkit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8"/>
            <w:tcBorders>
              <w:top w:val="single" w:sz="4" w:space="0" w:color="E5ECF5"/>
              <w:left w:val="single" w:sz="4" w:space="0" w:color="E5ECF5"/>
              <w:bottom w:val="single" w:sz="4" w:space="0" w:color="E5ECF5"/>
              <w:right w:val="single" w:sz="4" w:space="0" w:color="E5ECF5"/>
            </w:tcBorders>
            <w:shd w:fill="F7FA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Who it is for</w:t>
              <w:br/>
            </w:r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Small and mid-sized businesses adopting AI without a large governance team.</w:t>
            </w:r>
          </w:p>
        </w:tc>
        <w:tc>
          <w:tcPr>
            <w:tcW w:type="dxa" w:w="4608"/>
            <w:tcBorders>
              <w:top w:val="single" w:sz="4" w:space="0" w:color="E5ECF5"/>
              <w:left w:val="single" w:sz="4" w:space="0" w:color="E5ECF5"/>
              <w:bottom w:val="single" w:sz="4" w:space="0" w:color="E5ECF5"/>
              <w:right w:val="single" w:sz="4" w:space="0" w:color="E5ECF5"/>
            </w:tcBorders>
            <w:shd w:fill="F7FA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What it gives you</w:t>
              <w:br/>
            </w:r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A practical operating model, templates, sample data, and a maturity path from 24 core recipes to 36.</w:t>
            </w:r>
          </w:p>
        </w:tc>
      </w:tr>
      <w:tr>
        <w:tc>
          <w:tcPr>
            <w:tcW w:type="dxa" w:w="4608"/>
            <w:tcBorders>
              <w:top w:val="single" w:sz="4" w:space="0" w:color="E5ECF5"/>
              <w:left w:val="single" w:sz="4" w:space="0" w:color="E5ECF5"/>
              <w:bottom w:val="single" w:sz="4" w:space="0" w:color="E5ECF5"/>
              <w:right w:val="single" w:sz="4" w:space="0" w:color="E5ECF5"/>
            </w:tcBorders>
            <w:shd w:fill="F7FA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Design style</w:t>
              <w:br/>
            </w:r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Creative-enterprise: polished enough to sell, practical enough to run.</w:t>
            </w:r>
          </w:p>
        </w:tc>
        <w:tc>
          <w:tcPr>
            <w:tcW w:type="dxa" w:w="4608"/>
            <w:tcBorders>
              <w:top w:val="single" w:sz="4" w:space="0" w:color="E5ECF5"/>
              <w:left w:val="single" w:sz="4" w:space="0" w:color="E5ECF5"/>
              <w:bottom w:val="single" w:sz="4" w:space="0" w:color="E5ECF5"/>
              <w:right w:val="single" w:sz="4" w:space="0" w:color="E5ECF5"/>
            </w:tcBorders>
            <w:shd w:fill="F7FA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How to use it</w:t>
              <w:br/>
            </w:r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Start with intake and ownership. Then register systems, tier risk, map controls, monitor, and review quarterly.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ptos" w:hAnsi="Aptos"/>
          <w:b/>
          <w:i w:val="0"/>
          <w:color w:val="2F7D43"/>
          <w:sz w:val="20"/>
        </w:rPr>
        <w:t>Positioning statement</w:t>
      </w:r>
    </w:p>
    <w:p>
      <w:pPr>
        <w:spacing w:after="120"/>
      </w:pPr>
      <w:r>
        <w:rPr>
          <w:rFonts w:ascii="Aptos" w:hAnsi="Aptos"/>
          <w:b w:val="0"/>
          <w:i w:val="0"/>
          <w:color w:val="26364D"/>
          <w:sz w:val="24"/>
        </w:rPr>
        <w:t>Turn scattered AI policies into a working system with assigned owners, risk tiers, control expectations, and evidence that leadership can actually review.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0F274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Version</w:t>
              <w:br/>
            </w:r>
            <w:r>
              <w:rPr>
                <w:rFonts w:ascii="Aptos" w:hAnsi="Aptos"/>
                <w:b/>
                <w:i w:val="0"/>
                <w:color w:val="FFFFFF"/>
                <w:sz w:val="36"/>
              </w:rPr>
              <w:t>v1.1</w:t>
            </w:r>
          </w:p>
        </w:tc>
        <w:tc>
          <w:tcPr>
            <w:tcW w:type="dxa" w:w="288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2F7D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Recipes</w:t>
              <w:br/>
            </w:r>
            <w:r>
              <w:rPr>
                <w:rFonts w:ascii="Aptos" w:hAnsi="Aptos"/>
                <w:b/>
                <w:i w:val="0"/>
                <w:color w:val="FFFFFF"/>
                <w:sz w:val="36"/>
              </w:rPr>
              <w:t>24 core</w:t>
            </w:r>
          </w:p>
        </w:tc>
        <w:tc>
          <w:tcPr>
            <w:tcW w:type="dxa" w:w="288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D96A0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Roadmap</w:t>
              <w:br/>
            </w:r>
            <w:r>
              <w:rPr>
                <w:rFonts w:ascii="Aptos" w:hAnsi="Aptos"/>
                <w:b/>
                <w:i w:val="0"/>
                <w:color w:val="FFFFFF"/>
                <w:sz w:val="36"/>
              </w:rPr>
              <w:t>36 in v2.0</w:t>
            </w:r>
          </w:p>
        </w:tc>
      </w:tr>
    </w:tbl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Visual Table of Contents</w:t>
      </w:r>
    </w:p>
    <w:p>
      <w:pPr>
        <w:spacing w:after="120"/>
      </w:pPr>
      <w:r>
        <w:rPr>
          <w:rFonts w:ascii="Aptos" w:hAnsi="Aptos"/>
          <w:b w:val="0"/>
          <w:i w:val="0"/>
          <w:color w:val="51606F"/>
          <w:sz w:val="21"/>
        </w:rPr>
        <w:t>This page is the awareness asset: a one-page visual that previews the toolkit structure and included templates.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8452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governance_toolkit_visual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8452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1. Executive Overview</w:t>
      </w:r>
    </w:p>
    <w:p>
      <w:pPr>
        <w:spacing w:after="120"/>
      </w:pPr>
      <w:r>
        <w:rPr>
          <w:rFonts w:ascii="Aptos" w:hAnsi="Aptos"/>
          <w:b/>
          <w:i w:val="0"/>
          <w:color w:val="1F5FBF"/>
          <w:sz w:val="22"/>
        </w:rPr>
        <w:t>What AI Chef is</w:t>
      </w:r>
    </w:p>
    <w:p>
      <w:pPr>
        <w:spacing w:after="120"/>
      </w:pPr>
      <w:r>
        <w:rPr>
          <w:rFonts w:ascii="Aptos" w:hAnsi="Aptos"/>
          <w:b w:val="0"/>
          <w:i w:val="0"/>
          <w:color w:val="26364D"/>
          <w:sz w:val="21"/>
        </w:rPr>
        <w:t>GovSecure AI Chef™ is a branded operating model for SMB AI governance. It converts AI risk, control, ownership, and assurance into a recipe system that busy operators can actually use.</w:t>
      </w:r>
    </w:p>
    <w:p>
      <w:pPr>
        <w:spacing w:after="120"/>
      </w:pPr>
      <w:r>
        <w:rPr>
          <w:rFonts w:ascii="Aptos" w:hAnsi="Aptos"/>
          <w:b/>
          <w:i w:val="0"/>
          <w:color w:val="1F5FBF"/>
          <w:sz w:val="22"/>
        </w:rPr>
        <w:t>Why SMBs need this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SMBs are adopting AI faster than they are defining ownership, review paths, and acceptable uses.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Most governance materials are either too abstract for operations or too enterprise-heavy for lean teams.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Paid buyers want something they can drop into a live program without needing a six-week translation exercise.</w:t>
      </w:r>
    </w:p>
    <w:p>
      <w:pPr>
        <w:spacing w:after="120"/>
      </w:pPr>
      <w:r>
        <w:rPr>
          <w:rFonts w:ascii="Aptos" w:hAnsi="Aptos"/>
          <w:b/>
          <w:i w:val="0"/>
          <w:color w:val="1F5FBF"/>
          <w:sz w:val="22"/>
        </w:rPr>
        <w:t>Primary buyer profile</w:t>
      </w:r>
    </w:p>
    <w:p>
      <w:pPr>
        <w:spacing w:after="120"/>
      </w:pPr>
      <w:r>
        <w:rPr>
          <w:rFonts w:ascii="Aptos" w:hAnsi="Aptos"/>
          <w:b w:val="0"/>
          <w:i w:val="0"/>
          <w:color w:val="26364D"/>
          <w:sz w:val="21"/>
        </w:rPr>
        <w:t>SMB owners, operators, and lean technology or compliance leaders who need AI guardrails without building a giant bureaucracy.</w:t>
      </w:r>
    </w:p>
    <w:p>
      <w:pPr>
        <w:spacing w:after="120"/>
      </w:pPr>
      <w:r>
        <w:rPr>
          <w:rFonts w:ascii="Aptos" w:hAnsi="Aptos"/>
          <w:b/>
          <w:i w:val="0"/>
          <w:color w:val="1F5FBF"/>
          <w:sz w:val="22"/>
        </w:rPr>
        <w:t>What the paid edition adds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Realistic sample data so teams understand what good looks like.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Template pages with clear required fields, review cycles, and evidence expectations.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Appendices that make the toolkit feel implementation-ready rather than decorative.</w:t>
      </w:r>
    </w:p>
    <w:p>
      <w:pPr>
        <w:spacing w:before="80" w:after="80"/>
      </w:pPr>
      <w:r>
        <w:rPr>
          <w:rFonts w:ascii="Aptos" w:hAnsi="Aptos"/>
          <w:b/>
          <w:i w:val="0"/>
          <w:color w:val="0F274B"/>
          <w:sz w:val="30"/>
        </w:rPr>
        <w:t>2. Five-step adoption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  <w:shd w:fill="0F274B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2"/>
              </w:rPr>
              <w:t>1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  <w:shd w:fill="2F7D4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2"/>
              </w:rPr>
              <w:t>2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  <w:shd w:fill="D96A0B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2"/>
              </w:rPr>
              <w:t>3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  <w:shd w:fill="117A9B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2"/>
              </w:rPr>
              <w:t>4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  <w:shd w:fill="6A3FA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32"/>
              </w:rPr>
              <w:t>5</w:t>
            </w:r>
          </w:p>
        </w:tc>
      </w:tr>
      <w:tr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Identify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Assess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Assign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Control</w:t>
            </w:r>
          </w:p>
        </w:tc>
        <w:tc>
          <w:tcPr>
            <w:tcW w:type="dxa" w:w="1872"/>
            <w:tcBorders>
              <w:top w:val="single" w:sz="4" w:space="0" w:color="E0E7F0"/>
              <w:left w:val="single" w:sz="4" w:space="0" w:color="E0E7F0"/>
              <w:bottom w:val="single" w:sz="4" w:space="0" w:color="E0E7F0"/>
              <w:right w:val="single" w:sz="4" w:space="0" w:color="E0E7F0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Review</w:t>
            </w:r>
          </w:p>
        </w:tc>
      </w:tr>
    </w:tbl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3. 24 Core Recipe Matrix</w:t>
      </w:r>
    </w:p>
    <w:p>
      <w:pPr>
        <w:spacing w:after="120"/>
      </w:pPr>
      <w:r>
        <w:rPr>
          <w:rFonts w:ascii="Aptos" w:hAnsi="Aptos"/>
          <w:b w:val="0"/>
          <w:i w:val="0"/>
          <w:color w:val="51606F"/>
          <w:sz w:val="21"/>
        </w:rPr>
        <w:t>Six stations. Four live recipes per station. Two reserved upgrade slots per station for the v2.0 expansion path.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Station</w:t>
            </w:r>
          </w:p>
        </w:tc>
        <w:tc>
          <w:tcPr>
            <w:tcW w:type="dxa" w:w="59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Active recipes</w:t>
            </w:r>
          </w:p>
        </w:tc>
        <w:tc>
          <w:tcPr>
            <w:tcW w:type="dxa" w:w="17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Upgrade path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0F274B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Foundation &amp; Ownership</w:t>
            </w:r>
          </w:p>
        </w:tc>
        <w:tc>
          <w:tcPr>
            <w:tcW w:type="dxa" w:w="59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Head Chef Assignment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Kitchen Rules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Role Recipe Card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Approved Menu Only</w:t>
            </w:r>
          </w:p>
        </w:tc>
        <w:tc>
          <w:tcPr>
            <w:tcW w:type="dxa" w:w="17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6B7C93"/>
                <w:sz w:val="18"/>
              </w:rPr>
              <w:t>2 reserved</w:t>
              <w:br/>
              <w:t>advanced slots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2F7D43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Data &amp; Knowledge Controls</w:t>
            </w:r>
          </w:p>
        </w:tc>
        <w:tc>
          <w:tcPr>
            <w:tcW w:type="dxa" w:w="59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Clean Ingredients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Source Provenance Check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Retention &amp; Disposal Recipe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Knowledge Base Boundaries</w:t>
            </w:r>
          </w:p>
        </w:tc>
        <w:tc>
          <w:tcPr>
            <w:tcW w:type="dxa" w:w="17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6B7C93"/>
                <w:sz w:val="18"/>
              </w:rPr>
              <w:t>2 reserved</w:t>
              <w:br/>
              <w:t>advanced slots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D96A0B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Model &amp; Tool Safety</w:t>
            </w:r>
          </w:p>
        </w:tc>
        <w:tc>
          <w:tcPr>
            <w:tcW w:type="dxa" w:w="59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Pre-Serve Evaluation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Secret Sauce Lockdown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Drift Tasting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Vendor Pantry Review</w:t>
            </w:r>
          </w:p>
        </w:tc>
        <w:tc>
          <w:tcPr>
            <w:tcW w:type="dxa" w:w="17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6B7C93"/>
                <w:sz w:val="18"/>
              </w:rPr>
              <w:t>2 reserved</w:t>
              <w:br/>
              <w:t>advanced slots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117A9B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Agent &amp; Automation Controls</w:t>
            </w:r>
          </w:p>
        </w:tc>
        <w:tc>
          <w:tcPr>
            <w:tcW w:type="dxa" w:w="59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Tool Permission Gate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Human Before High Impact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Sandbox Before Service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Kill Switch on the Counter</w:t>
            </w:r>
          </w:p>
        </w:tc>
        <w:tc>
          <w:tcPr>
            <w:tcW w:type="dxa" w:w="17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6B7C93"/>
                <w:sz w:val="18"/>
              </w:rPr>
              <w:t>2 reserved</w:t>
              <w:br/>
              <w:t>advanced slots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6A3FA0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Decision &amp; Human Oversight</w:t>
            </w:r>
          </w:p>
        </w:tc>
        <w:tc>
          <w:tcPr>
            <w:tcW w:type="dxa" w:w="59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Explain the Dish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Escalate Ambiguous Orders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Bias &amp; Fairness Taste Test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High-Risk Use Case Flag</w:t>
            </w:r>
          </w:p>
        </w:tc>
        <w:tc>
          <w:tcPr>
            <w:tcW w:type="dxa" w:w="17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6B7C93"/>
                <w:sz w:val="18"/>
              </w:rPr>
              <w:t>2 reserved</w:t>
              <w:br/>
              <w:t>advanced slots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1F5FBF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Assurance, Monitoring &amp; Response</w:t>
            </w:r>
          </w:p>
        </w:tc>
        <w:tc>
          <w:tcPr>
            <w:tcW w:type="dxa" w:w="59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Full Kitchen Inventory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Kitchen Camera Logs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Burn Response Plan</w:t>
            </w:r>
          </w:p>
          <w:p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• Quarterly Recipe Review</w:t>
            </w:r>
          </w:p>
        </w:tc>
        <w:tc>
          <w:tcPr>
            <w:tcW w:type="dxa" w:w="17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6B7C93"/>
                <w:sz w:val="18"/>
              </w:rPr>
              <w:t>2 reserved</w:t>
              <w:br/>
              <w:t>advanced slots</w:t>
            </w:r>
          </w:p>
        </w:tc>
      </w:tr>
    </w:tbl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4. Ownership Model and RACI</w:t>
      </w:r>
    </w:p>
    <w:p>
      <w:pPr>
        <w:spacing w:after="120"/>
      </w:pPr>
      <w:r>
        <w:rPr>
          <w:rFonts w:ascii="Aptos" w:hAnsi="Aptos"/>
          <w:b/>
          <w:i w:val="0"/>
          <w:color w:val="2F7D43"/>
          <w:sz w:val="22"/>
        </w:rPr>
        <w:t>Sample SMB scenario: HarborCraft Home Goods</w:t>
      </w:r>
    </w:p>
    <w:p>
      <w:pPr>
        <w:spacing w:after="120"/>
      </w:pPr>
      <w:r>
        <w:rPr>
          <w:rFonts w:ascii="Aptos" w:hAnsi="Aptos"/>
          <w:b w:val="0"/>
          <w:i w:val="0"/>
          <w:color w:val="26364D"/>
          <w:sz w:val="21"/>
        </w:rPr>
        <w:t>A 280-person ecommerce and operations business using Microsoft Copilot, ChatGPT Enterprise, Zendesk AI, and two workflow automations connected to customer support and internal knowledge.</w:t>
      </w:r>
    </w:p>
    <w:p>
      <w:pPr>
        <w:spacing w:after="120"/>
      </w:pPr>
      <w:r>
        <w:rPr>
          <w:rFonts w:ascii="Aptos" w:hAnsi="Aptos"/>
          <w:b/>
          <w:i w:val="0"/>
          <w:color w:val="1F5FBF"/>
          <w:sz w:val="22"/>
        </w:rPr>
        <w:t>Accountability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Role</w:t>
            </w:r>
          </w:p>
        </w:tc>
        <w:tc>
          <w:tcPr>
            <w:tcW w:type="dxa" w:w="27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Sample owner</w:t>
            </w:r>
          </w:p>
        </w:tc>
        <w:tc>
          <w:tcPr>
            <w:tcW w:type="dxa" w:w="53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What they own</w:t>
            </w:r>
          </w:p>
        </w:tc>
      </w:tr>
      <w:tr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Executive Sponsor</w:t>
            </w:r>
          </w:p>
        </w:tc>
        <w:tc>
          <w:tcPr>
            <w:tcW w:type="dxa" w:w="27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COO</w:t>
            </w:r>
          </w:p>
        </w:tc>
        <w:tc>
          <w:tcPr>
            <w:tcW w:type="dxa" w:w="53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Approves policy direction, high-risk exceptions, and quarterly review decisions.</w:t>
            </w:r>
          </w:p>
        </w:tc>
      </w:tr>
      <w:tr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AI Governance Lead</w:t>
            </w:r>
          </w:p>
        </w:tc>
        <w:tc>
          <w:tcPr>
            <w:tcW w:type="dxa" w:w="27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Head of Risk &amp; Security</w:t>
            </w:r>
          </w:p>
        </w:tc>
        <w:tc>
          <w:tcPr>
            <w:tcW w:type="dxa" w:w="53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Runs intake, control mapping, registry reviews, and evidence collection.</w:t>
            </w:r>
          </w:p>
        </w:tc>
      </w:tr>
      <w:tr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Business Owner</w:t>
            </w:r>
          </w:p>
        </w:tc>
        <w:tc>
          <w:tcPr>
            <w:tcW w:type="dxa" w:w="27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Support Director / Ops Lead</w:t>
            </w:r>
          </w:p>
        </w:tc>
        <w:tc>
          <w:tcPr>
            <w:tcW w:type="dxa" w:w="53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Owns use-case outcomes, human oversight, and process performance.</w:t>
            </w:r>
          </w:p>
        </w:tc>
      </w:tr>
      <w:tr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IT / Platform Owner</w:t>
            </w:r>
          </w:p>
        </w:tc>
        <w:tc>
          <w:tcPr>
            <w:tcW w:type="dxa" w:w="27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IT Manager</w:t>
            </w:r>
          </w:p>
        </w:tc>
        <w:tc>
          <w:tcPr>
            <w:tcW w:type="dxa" w:w="53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Handles provisioning, connector controls, logging, and technical operations.</w:t>
            </w:r>
          </w:p>
        </w:tc>
      </w:tr>
      <w:tr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Legal / Privacy</w:t>
            </w:r>
          </w:p>
        </w:tc>
        <w:tc>
          <w:tcPr>
            <w:tcW w:type="dxa" w:w="27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External counsel + privacy lead</w:t>
            </w:r>
          </w:p>
        </w:tc>
        <w:tc>
          <w:tcPr>
            <w:tcW w:type="dxa" w:w="53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Reviews data use, notices, and high-impact legal/privacy triggers.</w:t>
            </w:r>
          </w:p>
        </w:tc>
      </w:tr>
      <w:tr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Procurement / Vendor Risk</w:t>
            </w:r>
          </w:p>
        </w:tc>
        <w:tc>
          <w:tcPr>
            <w:tcW w:type="dxa" w:w="27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Finance &amp; Ops Manager</w:t>
            </w:r>
          </w:p>
        </w:tc>
        <w:tc>
          <w:tcPr>
            <w:tcW w:type="dxa" w:w="532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Tracks vendor diligence, contract terms, and dependency issues.</w:t>
            </w:r>
          </w:p>
        </w:tc>
      </w:tr>
    </w:tbl>
    <w:p>
      <w:pPr>
        <w:spacing w:after="120"/>
      </w:pPr>
      <w:r>
        <w:rPr>
          <w:rFonts w:ascii="Aptos" w:hAnsi="Aptos"/>
          <w:b/>
          <w:i w:val="0"/>
          <w:color w:val="1F5FBF"/>
          <w:sz w:val="22"/>
        </w:rPr>
        <w:t>RACI sample across five core tasks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33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Activity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EX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AG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IT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BU</w:t>
            </w:r>
          </w:p>
        </w:tc>
        <w:tc>
          <w:tcPr>
            <w:tcW w:type="dxa" w:w="201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Notes</w:t>
            </w:r>
          </w:p>
        </w:tc>
      </w:tr>
      <w:tr>
        <w:tc>
          <w:tcPr>
            <w:tcW w:type="dxa" w:w="33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Approve high-risk use case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A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R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201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Legal/Privacy join as needed</w:t>
            </w:r>
          </w:p>
        </w:tc>
      </w:tr>
      <w:tr>
        <w:tc>
          <w:tcPr>
            <w:tcW w:type="dxa" w:w="33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Maintain AI registry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I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A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R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201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Reviewed monthly</w:t>
            </w:r>
          </w:p>
        </w:tc>
      </w:tr>
      <w:tr>
        <w:tc>
          <w:tcPr>
            <w:tcW w:type="dxa" w:w="33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Enable logging and connector controls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I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A/R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201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Security evidence retained</w:t>
            </w:r>
          </w:p>
        </w:tc>
      </w:tr>
      <w:tr>
        <w:tc>
          <w:tcPr>
            <w:tcW w:type="dxa" w:w="33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Quarterly governance review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A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R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201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Top risks + exceptions</w:t>
            </w:r>
          </w:p>
        </w:tc>
      </w:tr>
      <w:tr>
        <w:tc>
          <w:tcPr>
            <w:tcW w:type="dxa" w:w="33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9"/>
              </w:rPr>
              <w:t>Pause harmful automation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I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A/R</w:t>
            </w:r>
          </w:p>
        </w:tc>
        <w:tc>
          <w:tcPr>
            <w:tcW w:type="dxa" w:w="100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C</w:t>
            </w:r>
          </w:p>
        </w:tc>
        <w:tc>
          <w:tcPr>
            <w:tcW w:type="dxa" w:w="201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9"/>
              </w:rPr>
              <w:t>Emergency switch with post-review</w:t>
            </w:r>
          </w:p>
        </w:tc>
      </w:tr>
    </w:tbl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5. AI Use Case Intake and Risk Tiering</w:t>
      </w:r>
    </w:p>
    <w:p>
      <w:pPr>
        <w:spacing w:after="120"/>
      </w:pPr>
      <w:r>
        <w:rPr>
          <w:rFonts w:ascii="Aptos" w:hAnsi="Aptos"/>
          <w:b/>
          <w:i w:val="0"/>
          <w:color w:val="2F7D43"/>
          <w:sz w:val="22"/>
        </w:rPr>
        <w:t>Realistic sample intake</w:t>
      </w:r>
    </w:p>
    <w:p>
      <w:pPr>
        <w:spacing w:after="120"/>
      </w:pPr>
      <w:r>
        <w:rPr>
          <w:rFonts w:ascii="Aptos" w:hAnsi="Aptos"/>
          <w:b w:val="0"/>
          <w:i w:val="0"/>
          <w:color w:val="26364D"/>
          <w:sz w:val="21"/>
        </w:rPr>
        <w:t>Use case: Customer support co-pilot that drafts responses, summarizes tickets, and suggests refund options to human agents.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Field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Example entry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Business purpose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Reduce average ticket handling time by 20% while keeping a human agent in the loop.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Users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Support agents and team leads.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Data used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Customer emails, order history, product knowledge base, refund policy snippets.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External impact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Customer-facing outputs may be sent after agent approval.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Decision type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Recommendations only; no autonomous refunds.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Regulatory relevance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Privacy review required because customer data and retention are involved.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Human oversight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Mandatory agent approval before send or action.</w:t>
            </w:r>
          </w:p>
        </w:tc>
      </w:tr>
      <w:tr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Proposed risk tier</w:t>
            </w:r>
          </w:p>
        </w:tc>
        <w:tc>
          <w:tcPr>
            <w:tcW w:type="dxa" w:w="691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Tier 2 - Moderate, with Tier 3 controls if refund automation is later enabled.</w:t>
            </w:r>
          </w:p>
        </w:tc>
      </w:tr>
    </w:tbl>
    <w:p>
      <w:pPr>
        <w:spacing w:before="80" w:after="80"/>
      </w:pPr>
      <w:r>
        <w:rPr>
          <w:rFonts w:ascii="Aptos" w:hAnsi="Aptos"/>
          <w:b/>
          <w:i w:val="0"/>
          <w:color w:val="0F274B"/>
          <w:sz w:val="30"/>
        </w:rPr>
        <w:t>Risk tier logic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Tier 1 - Low: internal productivity, low sensitivity, no external decision effect.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Tier 2 - Moderate: business process support, limited customer or employee impact, strong human review.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Tier 3 - High: meaningful operational, legal, HR, financial, or customer impact; enhanced review required.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Tier 4 - Prohibited / Executive review: disallowed use or activity requiring executive decision and documented exception.</w:t>
      </w:r>
    </w:p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6. AI System Registry - realistic examples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System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Biz owner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Tech owner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Vendor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Use case</w:t>
            </w:r>
          </w:p>
        </w:tc>
        <w:tc>
          <w:tcPr>
            <w:tcW w:type="dxa" w:w="9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Tier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Status</w:t>
            </w:r>
          </w:p>
        </w:tc>
        <w:tc>
          <w:tcPr>
            <w:tcW w:type="dxa" w:w="10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7"/>
              </w:rPr>
              <w:t>Review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ChatGPT Enterprise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Marketing Director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IT Manager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OpenAI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Draft campaigns and summarize research</w:t>
            </w:r>
          </w:p>
        </w:tc>
        <w:tc>
          <w:tcPr>
            <w:tcW w:type="dxa" w:w="9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Tier 2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Approved</w:t>
            </w:r>
          </w:p>
        </w:tc>
        <w:tc>
          <w:tcPr>
            <w:tcW w:type="dxa" w:w="10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Monthly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Microsoft Copilot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COO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IT Manager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Microsoft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Internal productivity and meeting summaries</w:t>
            </w:r>
          </w:p>
        </w:tc>
        <w:tc>
          <w:tcPr>
            <w:tcW w:type="dxa" w:w="9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Tier 1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Approved</w:t>
            </w:r>
          </w:p>
        </w:tc>
        <w:tc>
          <w:tcPr>
            <w:tcW w:type="dxa" w:w="10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Quarterly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Zendesk AI Assist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Support Director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Support Systems Lead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Zendesk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Ticket drafting and response suggestions</w:t>
            </w:r>
          </w:p>
        </w:tc>
        <w:tc>
          <w:tcPr>
            <w:tcW w:type="dxa" w:w="9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Tier 2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Approved</w:t>
            </w:r>
          </w:p>
        </w:tc>
        <w:tc>
          <w:tcPr>
            <w:tcW w:type="dxa" w:w="10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Monthly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Refund Risk Agent (pilot)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Support Director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Automation Engineer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Custom + Azure OpenAI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Suggest refund risk labels before human approval</w:t>
            </w:r>
          </w:p>
        </w:tc>
        <w:tc>
          <w:tcPr>
            <w:tcW w:type="dxa" w:w="9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Tier 3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Pilot only</w:t>
            </w:r>
          </w:p>
        </w:tc>
        <w:tc>
          <w:tcPr>
            <w:tcW w:type="dxa" w:w="10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Bi-weekly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Vendor Contract Review GPT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Finance &amp; Ops Manager</w:t>
            </w:r>
          </w:p>
        </w:tc>
        <w:tc>
          <w:tcPr>
            <w:tcW w:type="dxa" w:w="144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Security Manager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Anthropic via platform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Draft clause summaries for procurement</w:t>
            </w:r>
          </w:p>
        </w:tc>
        <w:tc>
          <w:tcPr>
            <w:tcW w:type="dxa" w:w="936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Tier 2</w:t>
            </w:r>
          </w:p>
        </w:tc>
        <w:tc>
          <w:tcPr>
            <w:tcW w:type="dxa" w:w="13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Approved with restrictions</w:t>
            </w:r>
          </w:p>
        </w:tc>
        <w:tc>
          <w:tcPr>
            <w:tcW w:type="dxa" w:w="10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Quarterly</w:t>
            </w:r>
          </w:p>
        </w:tc>
      </w:tr>
    </w:tbl>
    <w:p>
      <w:pPr>
        <w:spacing w:after="120"/>
      </w:pPr>
      <w:r>
        <w:rPr>
          <w:rFonts w:ascii="Aptos" w:hAnsi="Aptos"/>
          <w:b/>
          <w:i w:val="0"/>
          <w:color w:val="1F5FBF"/>
          <w:sz w:val="22"/>
        </w:rPr>
        <w:t>Registry rule of thumb</w:t>
      </w:r>
    </w:p>
    <w:p>
      <w:pPr>
        <w:spacing w:after="120"/>
      </w:pPr>
      <w:r>
        <w:rPr>
          <w:rFonts w:ascii="Aptos" w:hAnsi="Aptos"/>
          <w:b w:val="0"/>
          <w:i w:val="0"/>
          <w:color w:val="26364D"/>
          <w:sz w:val="21"/>
        </w:rPr>
        <w:t>If a team can name the AI tool but cannot name the owner, review cycle, or permitted use, the registry entry is not complete. That gap is usually where risk starts breeding.</w:t>
      </w:r>
    </w:p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7. Policy-to-Control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Policy area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Statement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Required control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Evidence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Acceptable use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Teams may use approved AI tools for low and moderate-risk tasks only.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Approved tools list + intake form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Screenshots, approvals, training record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Prohibited use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No autonomous legal, HR, or financial commitments without explicit approval.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Tier 4 gate + exception log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Exception register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Human oversight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Human review is required before customer-facing send or high-impact action.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HITL checkpoints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Workflow screenshot / SOP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Vendor review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No new AI vendor enters production without diligence.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Vendor review checklist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Security + legal review pack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Data handling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Sensitive data must follow classification and approved retention rules.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Connector boundaries + retention config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Config export / policy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Logging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Prompt, action, and decision evidence must be logged where feasible.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Log sources and quarterly review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Sample log + review deck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Incident escalation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AI incidents follow the same containment and review discipline as security incidents.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AI incident playbook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Incident ticket + RCA</w:t>
            </w:r>
          </w:p>
        </w:tc>
      </w:tr>
      <w:tr>
        <w:tc>
          <w:tcPr>
            <w:tcW w:type="dxa" w:w="194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Change management</w:t>
            </w:r>
          </w:p>
        </w:tc>
        <w:tc>
          <w:tcPr>
            <w:tcW w:type="dxa" w:w="316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Material changes to models, connectors, or permissions must be reviewed.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Change request workflow</w:t>
            </w:r>
          </w:p>
        </w:tc>
        <w:tc>
          <w:tcPr>
            <w:tcW w:type="dxa" w:w="2448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Change ticket</w:t>
            </w:r>
          </w:p>
        </w:tc>
      </w:tr>
    </w:tbl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8. Monitoring, Logging, and AI Incident Response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Monitor drift, misuse, access changes, exceptions, and failed or unusual automated actions.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Review logs on a defined cadence rather than waiting for the fancy disaster to announce itself.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Treat harmful outputs, privacy leaks, and connector misuse as operational incidents with owners and evidence.</w:t>
      </w:r>
    </w:p>
    <w:p>
      <w:pPr>
        <w:spacing w:before="80" w:after="80"/>
      </w:pPr>
      <w:r>
        <w:rPr>
          <w:rFonts w:ascii="Aptos" w:hAnsi="Aptos"/>
          <w:b/>
          <w:i w:val="0"/>
          <w:color w:val="0F274B"/>
          <w:sz w:val="30"/>
        </w:rPr>
        <w:t>Recommended incident categories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Harmful output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Privacy breach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Security exposure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Model or prompt drift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Unauthorized automation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Third-party service failure</w:t>
      </w:r>
    </w:p>
    <w:p>
      <w:pPr>
        <w:spacing w:after="120"/>
      </w:pPr>
      <w:r>
        <w:rPr>
          <w:rFonts w:ascii="Aptos" w:hAnsi="Aptos"/>
          <w:b/>
          <w:i w:val="0"/>
          <w:color w:val="2F7D43"/>
          <w:sz w:val="22"/>
        </w:rPr>
        <w:t>Reusable page structure preview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83934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ernance_toolkit_page_template_lay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393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9. Executive Dashboard and Maturity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0F274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Registered systems</w:t>
              <w:br/>
            </w:r>
            <w:r>
              <w:rPr>
                <w:rFonts w:ascii="Aptos" w:hAnsi="Aptos"/>
                <w:b/>
                <w:i w:val="0"/>
                <w:color w:val="FFFFFF"/>
                <w:sz w:val="36"/>
              </w:rPr>
              <w:t>5</w:t>
            </w:r>
            <w:r>
              <w:rPr>
                <w:rFonts w:ascii="Aptos" w:hAnsi="Aptos"/>
                <w:b w:val="0"/>
                <w:i w:val="0"/>
                <w:color w:val="EAF1FF"/>
                <w:sz w:val="16"/>
              </w:rPr>
              <w:br/>
              <w:t>1 pilot</w:t>
            </w:r>
          </w:p>
        </w:tc>
        <w:tc>
          <w:tcPr>
            <w:tcW w:type="dxa" w:w="230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2F7D4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% with owners</w:t>
              <w:br/>
            </w:r>
            <w:r>
              <w:rPr>
                <w:rFonts w:ascii="Aptos" w:hAnsi="Aptos"/>
                <w:b/>
                <w:i w:val="0"/>
                <w:color w:val="FFFFFF"/>
                <w:sz w:val="36"/>
              </w:rPr>
              <w:t>100%</w:t>
            </w:r>
            <w:r>
              <w:rPr>
                <w:rFonts w:ascii="Aptos" w:hAnsi="Aptos"/>
                <w:b w:val="0"/>
                <w:i w:val="0"/>
                <w:color w:val="EAF1FF"/>
                <w:sz w:val="16"/>
              </w:rPr>
              <w:br/>
              <w:t>all named</w:t>
            </w:r>
          </w:p>
        </w:tc>
        <w:tc>
          <w:tcPr>
            <w:tcW w:type="dxa" w:w="230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D96A0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Quarterly incidents</w:t>
              <w:br/>
            </w:r>
            <w:r>
              <w:rPr>
                <w:rFonts w:ascii="Aptos" w:hAnsi="Aptos"/>
                <w:b/>
                <w:i w:val="0"/>
                <w:color w:val="FFFFFF"/>
                <w:sz w:val="36"/>
              </w:rPr>
              <w:t>1</w:t>
            </w:r>
            <w:r>
              <w:rPr>
                <w:rFonts w:ascii="Aptos" w:hAnsi="Aptos"/>
                <w:b w:val="0"/>
                <w:i w:val="0"/>
                <w:color w:val="EAF1FF"/>
                <w:sz w:val="16"/>
              </w:rPr>
              <w:br/>
              <w:t>contained</w:t>
            </w:r>
          </w:p>
        </w:tc>
        <w:tc>
          <w:tcPr>
            <w:tcW w:type="dxa" w:w="2304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fill="6A3FA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Maturity score</w:t>
              <w:br/>
            </w:r>
            <w:r>
              <w:rPr>
                <w:rFonts w:ascii="Aptos" w:hAnsi="Aptos"/>
                <w:b/>
                <w:i w:val="0"/>
                <w:color w:val="FFFFFF"/>
                <w:sz w:val="36"/>
              </w:rPr>
              <w:t>2.6 / 5</w:t>
            </w:r>
            <w:r>
              <w:rPr>
                <w:rFonts w:ascii="Aptos" w:hAnsi="Aptos"/>
                <w:b w:val="0"/>
                <w:i w:val="0"/>
                <w:color w:val="EAF1FF"/>
                <w:sz w:val="16"/>
              </w:rPr>
              <w:br/>
              <w:t>managed</w:t>
            </w:r>
          </w:p>
        </w:tc>
      </w:tr>
    </w:tbl>
    <w:p>
      <w:pPr>
        <w:spacing w:after="120"/>
      </w:pPr>
      <w:r>
        <w:rPr>
          <w:rFonts w:ascii="Aptos" w:hAnsi="Aptos"/>
          <w:b/>
          <w:i w:val="0"/>
          <w:color w:val="1F5FBF"/>
          <w:sz w:val="22"/>
        </w:rPr>
        <w:t>Sample dashboard interpretation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The program is beyond ad hoc because owners, intake, and a registry exist.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It is not fully operationalized yet because pilot automation remains under enhanced review and evidence collection is still maturing.</w:t>
      </w:r>
    </w:p>
    <w:p>
      <w:pPr>
        <w:pStyle w:val="ListBullet"/>
        <w:ind w:left="0"/>
      </w:pPr>
      <w:r>
        <w:rPr>
          <w:rFonts w:ascii="Aptos" w:hAnsi="Aptos"/>
          <w:b w:val="0"/>
          <w:i w:val="0"/>
          <w:color w:val="26364D"/>
          <w:sz w:val="21"/>
        </w:rPr>
        <w:t>The next jump should focus on logging coverage, formal review notes, and tighter change control.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Level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Label</w:t>
            </w:r>
          </w:p>
        </w:tc>
        <w:tc>
          <w:tcPr>
            <w:tcW w:type="dxa" w:w="57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20"/>
              </w:rPr>
              <w:t>What it looks like</w:t>
            </w:r>
          </w:p>
        </w:tc>
      </w:tr>
      <w:tr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1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Foundational</w:t>
            </w:r>
          </w:p>
        </w:tc>
        <w:tc>
          <w:tcPr>
            <w:tcW w:type="dxa" w:w="57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Policy exists but ownership and intake are inconsistent.</w:t>
            </w:r>
          </w:p>
        </w:tc>
      </w:tr>
      <w:tr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2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Managed</w:t>
            </w:r>
          </w:p>
        </w:tc>
        <w:tc>
          <w:tcPr>
            <w:tcW w:type="dxa" w:w="57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Owners, intake, registry, and baseline controls are in place.</w:t>
            </w:r>
          </w:p>
        </w:tc>
      </w:tr>
      <w:tr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3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Operationalized</w:t>
            </w:r>
          </w:p>
        </w:tc>
        <w:tc>
          <w:tcPr>
            <w:tcW w:type="dxa" w:w="57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Review cadence, monitoring, and evidence are routine.</w:t>
            </w:r>
          </w:p>
        </w:tc>
      </w:tr>
      <w:tr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4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Assured</w:t>
            </w:r>
          </w:p>
        </w:tc>
        <w:tc>
          <w:tcPr>
            <w:tcW w:type="dxa" w:w="57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Controls are tested, exceptions are documented, and leadership receives clear reports.</w:t>
            </w:r>
          </w:p>
        </w:tc>
      </w:tr>
      <w:tr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5</w:t>
            </w:r>
          </w:p>
        </w:tc>
        <w:tc>
          <w:tcPr>
            <w:tcW w:type="dxa" w:w="259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20"/>
              </w:rPr>
              <w:t>Optimized</w:t>
            </w:r>
          </w:p>
        </w:tc>
        <w:tc>
          <w:tcPr>
            <w:tcW w:type="dxa" w:w="57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20"/>
              </w:rPr>
              <w:t>Program is measured, improved, and scaled with confidence across business use cases.</w:t>
            </w:r>
          </w:p>
        </w:tc>
      </w:tr>
    </w:tbl>
    <w:p>
      <w:r>
        <w:br w:type="page"/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Appendix A. Governance Glossary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AI system: </w:t>
      </w:r>
      <w:r>
        <w:rPr>
          <w:rFonts w:ascii="Aptos" w:hAnsi="Aptos"/>
          <w:b w:val="0"/>
          <w:i w:val="0"/>
          <w:color w:val="26364D"/>
          <w:sz w:val="21"/>
        </w:rPr>
        <w:t>Any tool, model, workflow, or agent used to generate outputs, recommendations, or actions.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Agent: </w:t>
      </w:r>
      <w:r>
        <w:rPr>
          <w:rFonts w:ascii="Aptos" w:hAnsi="Aptos"/>
          <w:b w:val="0"/>
          <w:i w:val="0"/>
          <w:color w:val="26364D"/>
          <w:sz w:val="21"/>
        </w:rPr>
        <w:t>An AI-enabled workflow that can take or suggest actions using tools, connectors, or instructions.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High-impact use case: </w:t>
      </w:r>
      <w:r>
        <w:rPr>
          <w:rFonts w:ascii="Aptos" w:hAnsi="Aptos"/>
          <w:b w:val="0"/>
          <w:i w:val="0"/>
          <w:color w:val="26364D"/>
          <w:sz w:val="21"/>
        </w:rPr>
        <w:t>A use case with meaningful financial, legal, HR, customer, or safety impact.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Human oversight: </w:t>
      </w:r>
      <w:r>
        <w:rPr>
          <w:rFonts w:ascii="Aptos" w:hAnsi="Aptos"/>
          <w:b w:val="0"/>
          <w:i w:val="0"/>
          <w:color w:val="26364D"/>
          <w:sz w:val="21"/>
        </w:rPr>
        <w:t>A defined review or approval step performed by an accountable human.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Model drift: </w:t>
      </w:r>
      <w:r>
        <w:rPr>
          <w:rFonts w:ascii="Aptos" w:hAnsi="Aptos"/>
          <w:b w:val="0"/>
          <w:i w:val="0"/>
          <w:color w:val="26364D"/>
          <w:sz w:val="21"/>
        </w:rPr>
        <w:t>A change in model behavior or performance over time that affects output quality or safety.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Shadow AI: </w:t>
      </w:r>
      <w:r>
        <w:rPr>
          <w:rFonts w:ascii="Aptos" w:hAnsi="Aptos"/>
          <w:b w:val="0"/>
          <w:i w:val="0"/>
          <w:color w:val="26364D"/>
          <w:sz w:val="21"/>
        </w:rPr>
        <w:t>AI usage outside approved tools, workflows, or review paths.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Knowledge base: </w:t>
      </w:r>
      <w:r>
        <w:rPr>
          <w:rFonts w:ascii="Aptos" w:hAnsi="Aptos"/>
          <w:b w:val="0"/>
          <w:i w:val="0"/>
          <w:color w:val="26364D"/>
          <w:sz w:val="21"/>
        </w:rPr>
        <w:t>The source material or repository used to ground AI responses.</w:t>
      </w:r>
    </w:p>
    <w:p>
      <w:r>
        <w:rPr>
          <w:rFonts w:ascii="Aptos" w:hAnsi="Aptos"/>
          <w:b/>
          <w:i w:val="0"/>
          <w:color w:val="0F274B"/>
          <w:sz w:val="21"/>
        </w:rPr>
        <w:t xml:space="preserve">Prohibited use: </w:t>
      </w:r>
      <w:r>
        <w:rPr>
          <w:rFonts w:ascii="Aptos" w:hAnsi="Aptos"/>
          <w:b w:val="0"/>
          <w:i w:val="0"/>
          <w:color w:val="26364D"/>
          <w:sz w:val="21"/>
        </w:rPr>
        <w:t>A disallowed use case or activity that requires an exception to proceed.</w:t>
      </w:r>
    </w:p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Appendix B. Standards alignment crosswalk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Toolkit area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NIST AI RMF</w:t>
            </w:r>
          </w:p>
        </w:tc>
        <w:tc>
          <w:tcPr>
            <w:tcW w:type="dxa" w:w="266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ISO 42001</w:t>
            </w:r>
          </w:p>
        </w:tc>
        <w:tc>
          <w:tcPr>
            <w:tcW w:type="dxa" w:w="252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EU AI Act themes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Ownership and governance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NIST Govern</w:t>
            </w:r>
          </w:p>
        </w:tc>
        <w:tc>
          <w:tcPr>
            <w:tcW w:type="dxa" w:w="266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ISO 42001 leadership and planning</w:t>
            </w:r>
          </w:p>
        </w:tc>
        <w:tc>
          <w:tcPr>
            <w:tcW w:type="dxa" w:w="252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EU governance and QMS themes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Risk tiering and use-case review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NIST Map / Manage</w:t>
            </w:r>
          </w:p>
        </w:tc>
        <w:tc>
          <w:tcPr>
            <w:tcW w:type="dxa" w:w="266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ISO risk assessment and controls</w:t>
            </w:r>
          </w:p>
        </w:tc>
        <w:tc>
          <w:tcPr>
            <w:tcW w:type="dxa" w:w="252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EU high-risk logic themes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Data handling and provenance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NIST Map / Measure</w:t>
            </w:r>
          </w:p>
        </w:tc>
        <w:tc>
          <w:tcPr>
            <w:tcW w:type="dxa" w:w="266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ISO data governance</w:t>
            </w:r>
          </w:p>
        </w:tc>
        <w:tc>
          <w:tcPr>
            <w:tcW w:type="dxa" w:w="252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EU data governance themes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Human oversight and decisions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NIST Govern / Manage</w:t>
            </w:r>
          </w:p>
        </w:tc>
        <w:tc>
          <w:tcPr>
            <w:tcW w:type="dxa" w:w="266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ISO operational controls</w:t>
            </w:r>
          </w:p>
        </w:tc>
        <w:tc>
          <w:tcPr>
            <w:tcW w:type="dxa" w:w="252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EU human oversight</w:t>
            </w:r>
          </w:p>
        </w:tc>
      </w:tr>
      <w:tr>
        <w:tc>
          <w:tcPr>
            <w:tcW w:type="dxa" w:w="302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Logging and incident response</w:t>
            </w:r>
          </w:p>
        </w:tc>
        <w:tc>
          <w:tcPr>
            <w:tcW w:type="dxa" w:w="2232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NIST Manage</w:t>
            </w:r>
          </w:p>
        </w:tc>
        <w:tc>
          <w:tcPr>
            <w:tcW w:type="dxa" w:w="266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ISO monitoring and improvement</w:t>
            </w:r>
          </w:p>
        </w:tc>
        <w:tc>
          <w:tcPr>
            <w:tcW w:type="dxa" w:w="252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EU logging, robustness, cybersecurity</w:t>
            </w:r>
          </w:p>
        </w:tc>
      </w:tr>
    </w:tbl>
    <w:p>
      <w:pPr>
        <w:spacing w:before="160" w:after="160"/>
      </w:pPr>
      <w:r>
        <w:rPr>
          <w:rFonts w:ascii="Aptos" w:hAnsi="Aptos"/>
          <w:b/>
          <w:i w:val="0"/>
          <w:color w:val="0F274B"/>
          <w:sz w:val="40"/>
        </w:rPr>
        <w:t>Appendix C. Evidence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Artifact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Refresh cycle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Owner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  <w:shd w:fill="EEF3F8"/>
          </w:tcPr>
          <w:p>
            <w:r/>
            <w:r>
              <w:rPr>
                <w:rFonts w:ascii="Aptos" w:hAnsi="Aptos"/>
                <w:b/>
                <w:i w:val="0"/>
                <w:color w:val="0F274B"/>
                <w:sz w:val="18"/>
              </w:rPr>
              <w:t>Done when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AI policy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Annual or when materially changed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AI Governance Lead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Current version approved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Approved tools list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Monthly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IT / Governance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Current list published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Use-case intake records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Per use case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AI Governance Lead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All active use cases logged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Risk tiering worksheets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Per use case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Business Owner + Governance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Tier rationale documented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System registry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Monthly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IT / Governance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Review date current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Vendor review records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Before production + annual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Procurement / Security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Renewals tracked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Monitoring review notes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Monthly / quarterly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IT / Security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Review notes retained</w:t>
            </w:r>
          </w:p>
        </w:tc>
      </w:tr>
      <w:tr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/>
                <w:i w:val="0"/>
                <w:color w:val="26364D"/>
                <w:sz w:val="17"/>
              </w:rPr>
              <w:t>Incident reports and RCA</w:t>
            </w:r>
          </w:p>
        </w:tc>
        <w:tc>
          <w:tcPr>
            <w:tcW w:type="dxa" w:w="216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As needed</w:t>
            </w:r>
          </w:p>
        </w:tc>
        <w:tc>
          <w:tcPr>
            <w:tcW w:type="dxa" w:w="2304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Security / Ops</w:t>
            </w:r>
          </w:p>
        </w:tc>
        <w:tc>
          <w:tcPr>
            <w:tcW w:type="dxa" w:w="2880"/>
            <w:tcBorders>
              <w:top w:val="single" w:sz="4" w:space="0" w:color="DCE5EF"/>
              <w:left w:val="single" w:sz="4" w:space="0" w:color="DCE5EF"/>
              <w:bottom w:val="single" w:sz="4" w:space="0" w:color="DCE5EF"/>
              <w:right w:val="single" w:sz="4" w:space="0" w:color="DCE5EF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26364D"/>
                <w:sz w:val="17"/>
              </w:rPr>
              <w:t>Closed with lessons learned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C93"/>
        <w:sz w:val="16"/>
      </w:rPr>
      <w:t>GovSecure AI Chef™ | Paid SMB Edition | v1.1 client-ready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