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Gov"/>
        <w:jc w:val="center"/>
      </w:pPr>
      <w:r>
        <w:t>GovSecure AI Chef™</w:t>
        <w:br/>
      </w:r>
      <w:r>
        <w:rPr>
          <w:sz w:val="40"/>
        </w:rPr>
        <w:t>Enterprise AI Governance Recipe Matrix Toolkit</w:t>
      </w:r>
    </w:p>
    <w:p>
      <w:pPr>
        <w:pStyle w:val="SubtitleGov"/>
        <w:jc w:val="center"/>
      </w:pPr>
      <w:r>
        <w:t>v1.0 - 24 Core Recipes</w:t>
      </w:r>
    </w:p>
    <w:p>
      <w:pPr>
        <w:jc w:val="center"/>
      </w:pPr>
      <w:r>
        <w:rPr>
          <w:color w:val="5B6573"/>
          <w:sz w:val="22"/>
        </w:rPr>
        <w:t>A practical operational toolkit for governing AI risks, controls, ownership, and assurance across the enterprise.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78023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corporate_infographic_one_page_document_la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7802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Gov"/>
        <w:jc w:val="center"/>
      </w:pPr>
      <w:r>
        <w:t>Built from the approved GovSecure AI Chef toolkit outline and template structure.</w:t>
      </w:r>
    </w:p>
    <w:p>
      <w:r>
        <w:br w:type="page"/>
      </w:r>
    </w:p>
    <w:p>
      <w:pPr>
        <w:pStyle w:val="H1Gov"/>
      </w:pPr>
      <w:r>
        <w:t>Executive Overview</w:t>
      </w:r>
    </w:p>
    <w:p>
      <w:pPr>
        <w:spacing w:after="120"/>
      </w:pPr>
      <w:r>
        <w:t>GovSecure AI Chef turns AI governance from scattered policies into an operating model with named ownership, risk-tiered intake, mapped controls, evidence expectations, and leadership reporting.</w:t>
      </w:r>
    </w:p>
    <w:p>
      <w:pPr>
        <w:spacing w:after="120"/>
      </w:pPr>
      <w:r>
        <w:t>The toolkit is designed for SMB owners, CIO/CISO leaders, compliance teams, and AI governance practitioners who need one framework that can support awareness, implementation, and audit readiness without becoming theoretical sludge.</w:t>
      </w:r>
    </w:p>
    <w:p>
      <w:pPr>
        <w:pStyle w:val="H2Gov"/>
      </w:pPr>
      <w:r>
        <w:t>What is included</w:t>
      </w:r>
    </w:p>
    <w:p>
      <w:pPr>
        <w:pStyle w:val="ListBullet"/>
      </w:pPr>
      <w:r>
        <w:t>A 24-recipe governance matrix across six stations</w:t>
      </w:r>
    </w:p>
    <w:p>
      <w:pPr>
        <w:pStyle w:val="ListBullet"/>
      </w:pPr>
      <w:r>
        <w:t>An ownership and RACI model</w:t>
      </w:r>
    </w:p>
    <w:p>
      <w:pPr>
        <w:pStyle w:val="ListBullet"/>
      </w:pPr>
      <w:r>
        <w:t>AI use-case intake and risk tiering workflow</w:t>
      </w:r>
    </w:p>
    <w:p>
      <w:pPr>
        <w:pStyle w:val="ListBullet"/>
      </w:pPr>
      <w:r>
        <w:t>AI system registry structure</w:t>
      </w:r>
    </w:p>
    <w:p>
      <w:pPr>
        <w:pStyle w:val="ListBullet"/>
      </w:pPr>
      <w:r>
        <w:t>Policy-to-control mapping baseline</w:t>
      </w:r>
    </w:p>
    <w:p>
      <w:pPr>
        <w:pStyle w:val="ListBullet"/>
      </w:pPr>
      <w:r>
        <w:t>Operational guidance for data, model, vendor, agent, monitoring, and incident controls</w:t>
      </w:r>
    </w:p>
    <w:p>
      <w:pPr>
        <w:pStyle w:val="ListBullet"/>
      </w:pPr>
      <w:r>
        <w:t>A maturity roadmap from 24 to 36 recipes</w:t>
      </w:r>
    </w:p>
    <w:p>
      <w:pPr>
        <w:pStyle w:val="H1Gov"/>
      </w:pPr>
      <w:r>
        <w:t>How to Use the Framework</w:t>
      </w:r>
    </w:p>
    <w:p>
      <w:r>
        <w:t>Use the toolkit in five steps:</w:t>
      </w:r>
    </w:p>
    <w:p>
      <w:pPr>
        <w:pStyle w:val="ListNumber"/>
      </w:pPr>
      <w:r>
        <w:t>1. Identify AI systems and use cases</w:t>
      </w:r>
    </w:p>
    <w:p>
      <w:pPr>
        <w:pStyle w:val="ListNumber"/>
      </w:pPr>
      <w:r>
        <w:t>2. Assess the use case and assign a risk tier</w:t>
      </w:r>
    </w:p>
    <w:p>
      <w:pPr>
        <w:pStyle w:val="ListNumber"/>
      </w:pPr>
      <w:r>
        <w:t>3. Assign owners and supporting functions</w:t>
      </w:r>
    </w:p>
    <w:p>
      <w:pPr>
        <w:pStyle w:val="ListNumber"/>
      </w:pPr>
      <w:r>
        <w:t>4. Implement required controls and record evidence</w:t>
      </w:r>
    </w:p>
    <w:p>
      <w:pPr>
        <w:pStyle w:val="ListNumber"/>
      </w:pPr>
      <w:r>
        <w:t>5. Review quarterly and improve by maturity stage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78023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corporate_template_page_with_a_white_backg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7802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1Gov"/>
      </w:pPr>
      <w:r>
        <w:t>24 Core Recipes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2A5B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Station</w:t>
            </w:r>
          </w:p>
        </w:tc>
        <w:tc>
          <w:tcPr>
            <w:tcW w:type="dxa" w:w="2045"/>
            <w:shd w:fill="0B2A5B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type="dxa" w:w="2045"/>
            <w:shd w:fill="0B2A5B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Recipe</w:t>
            </w:r>
          </w:p>
        </w:tc>
        <w:tc>
          <w:tcPr>
            <w:tcW w:type="dxa" w:w="2045"/>
            <w:shd w:fill="0B2A5B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Core Control</w:t>
            </w:r>
          </w:p>
        </w:tc>
        <w:tc>
          <w:tcPr>
            <w:tcW w:type="dxa" w:w="2045"/>
            <w:shd w:fill="0B2A5B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2045"/>
          </w:tcPr>
          <w:p>
            <w:r>
              <w:t>Foundation &amp; Ownership</w:t>
            </w:r>
          </w:p>
        </w:tc>
        <w:tc>
          <w:tcPr>
            <w:tcW w:type="dxa" w:w="2045"/>
          </w:tcPr>
          <w:p>
            <w:r>
              <w:t>Ow</w:t>
            </w:r>
          </w:p>
        </w:tc>
        <w:tc>
          <w:tcPr>
            <w:tcW w:type="dxa" w:w="2045"/>
          </w:tcPr>
          <w:p>
            <w:r>
              <w:t>Head Chef Assignment</w:t>
              <w:br/>
              <w:t>Risk: Ownership Vacuum</w:t>
            </w:r>
          </w:p>
        </w:tc>
        <w:tc>
          <w:tcPr>
            <w:tcW w:type="dxa" w:w="2045"/>
          </w:tcPr>
          <w:p>
            <w:r>
              <w:t>Assign named AI governance owner, charter, RACI, escalation authority</w:t>
            </w:r>
          </w:p>
        </w:tc>
        <w:tc>
          <w:tcPr>
            <w:tcW w:type="dxa" w:w="2045"/>
          </w:tcPr>
          <w:p>
            <w:r>
              <w:t>EX / AG</w:t>
            </w:r>
          </w:p>
        </w:tc>
      </w:tr>
      <w:tr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>
              <w:t>Pg</w:t>
            </w:r>
          </w:p>
        </w:tc>
        <w:tc>
          <w:tcPr>
            <w:tcW w:type="dxa" w:w="2045"/>
          </w:tcPr>
          <w:p>
            <w:r>
              <w:t>Kitchen Rules</w:t>
              <w:br/>
              <w:t>Risk: Policy Gaps</w:t>
            </w:r>
          </w:p>
        </w:tc>
        <w:tc>
          <w:tcPr>
            <w:tcW w:type="dxa" w:w="2045"/>
          </w:tcPr>
          <w:p>
            <w:r>
              <w:t>Set AI policy, acceptable use, prohibited use, and exception handling</w:t>
            </w:r>
          </w:p>
        </w:tc>
        <w:tc>
          <w:tcPr>
            <w:tcW w:type="dxa" w:w="2045"/>
          </w:tcPr>
          <w:p>
            <w:r>
              <w:t>LE / SE / AG</w:t>
            </w:r>
          </w:p>
        </w:tc>
      </w:tr>
      <w:tr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>
              <w:t>Rc</w:t>
            </w:r>
          </w:p>
        </w:tc>
        <w:tc>
          <w:tcPr>
            <w:tcW w:type="dxa" w:w="2045"/>
          </w:tcPr>
          <w:p>
            <w:r>
              <w:t>Role Recipe Card</w:t>
              <w:br/>
              <w:t>Risk: Role Confusion</w:t>
            </w:r>
          </w:p>
        </w:tc>
        <w:tc>
          <w:tcPr>
            <w:tcW w:type="dxa" w:w="2045"/>
          </w:tcPr>
          <w:p>
            <w:r>
              <w:t>Define responsibilities across IT, Security, Legal, Privacy, Data, Procurement, HR, and business</w:t>
            </w:r>
          </w:p>
        </w:tc>
        <w:tc>
          <w:tcPr>
            <w:tcW w:type="dxa" w:w="2045"/>
          </w:tcPr>
          <w:p>
            <w:r>
              <w:t>AG</w:t>
            </w:r>
          </w:p>
        </w:tc>
      </w:tr>
      <w:tr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>
              <w:t>Sa</w:t>
            </w:r>
          </w:p>
        </w:tc>
        <w:tc>
          <w:tcPr>
            <w:tcW w:type="dxa" w:w="2045"/>
          </w:tcPr>
          <w:p>
            <w:r>
              <w:t>Approved Menu Only</w:t>
              <w:br/>
              <w:t>Risk: Shadow AI</w:t>
            </w:r>
          </w:p>
        </w:tc>
        <w:tc>
          <w:tcPr>
            <w:tcW w:type="dxa" w:w="2045"/>
          </w:tcPr>
          <w:p>
            <w:r>
              <w:t>Maintain approved tools register and sanctioned use pathways</w:t>
            </w:r>
          </w:p>
        </w:tc>
        <w:tc>
          <w:tcPr>
            <w:tcW w:type="dxa" w:w="2045"/>
          </w:tcPr>
          <w:p>
            <w:r>
              <w:t>IT / SE</w:t>
            </w:r>
          </w:p>
        </w:tc>
      </w:tr>
      <w:tr>
        <w:tc>
          <w:tcPr>
            <w:tcW w:type="dxa" w:w="2045"/>
          </w:tcPr>
          <w:p>
            <w:r>
              <w:t>Data &amp; Knowledge Controls</w:t>
            </w:r>
          </w:p>
        </w:tc>
        <w:tc>
          <w:tcPr>
            <w:tcW w:type="dxa" w:w="2045"/>
          </w:tcPr>
          <w:p>
            <w:r>
              <w:t>Di</w:t>
            </w:r>
          </w:p>
        </w:tc>
        <w:tc>
          <w:tcPr>
            <w:tcW w:type="dxa" w:w="2045"/>
          </w:tcPr>
          <w:p>
            <w:r>
              <w:t>Clean Ingredients</w:t>
              <w:br/>
              <w:t>Risk: Sensitive Data Exposure</w:t>
            </w:r>
          </w:p>
        </w:tc>
        <w:tc>
          <w:tcPr>
            <w:tcW w:type="dxa" w:w="2045"/>
          </w:tcPr>
          <w:p>
            <w:r>
              <w:t>Apply data classification and prompt handling restrictions</w:t>
            </w:r>
          </w:p>
        </w:tc>
        <w:tc>
          <w:tcPr>
            <w:tcW w:type="dxa" w:w="2045"/>
          </w:tcPr>
          <w:p>
            <w:r>
              <w:t>DA / PR / SE</w:t>
            </w:r>
          </w:p>
        </w:tc>
      </w:tr>
      <w:tr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>
              <w:t>Pv</w:t>
            </w:r>
          </w:p>
        </w:tc>
        <w:tc>
          <w:tcPr>
            <w:tcW w:type="dxa" w:w="2045"/>
          </w:tcPr>
          <w:p>
            <w:r>
              <w:t>Source Provenance Check</w:t>
              <w:br/>
              <w:t>Risk: Untrusted or Poor-Quality Data</w:t>
            </w:r>
          </w:p>
        </w:tc>
        <w:tc>
          <w:tcPr>
            <w:tcW w:type="dxa" w:w="2045"/>
          </w:tcPr>
          <w:p>
            <w:r>
              <w:t>Track provenance, metadata, and approved knowledge sources</w:t>
            </w:r>
          </w:p>
        </w:tc>
        <w:tc>
          <w:tcPr>
            <w:tcW w:type="dxa" w:w="2045"/>
          </w:tcPr>
          <w:p>
            <w:r>
              <w:t>DA</w:t>
            </w:r>
          </w:p>
        </w:tc>
      </w:tr>
      <w:tr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>
              <w:t>Rd</w:t>
            </w:r>
          </w:p>
        </w:tc>
        <w:tc>
          <w:tcPr>
            <w:tcW w:type="dxa" w:w="2045"/>
          </w:tcPr>
          <w:p>
            <w:r>
              <w:t>Retention &amp; Disposal Recipe</w:t>
              <w:br/>
              <w:t>Risk: Over-Retention</w:t>
            </w:r>
          </w:p>
        </w:tc>
        <w:tc>
          <w:tcPr>
            <w:tcW w:type="dxa" w:w="2045"/>
          </w:tcPr>
          <w:p>
            <w:r>
              <w:t>Define AI-specific retention and deletion rules</w:t>
            </w:r>
          </w:p>
        </w:tc>
        <w:tc>
          <w:tcPr>
            <w:tcW w:type="dxa" w:w="2045"/>
          </w:tcPr>
          <w:p>
            <w:r>
              <w:t>PR / IT</w:t>
            </w:r>
          </w:p>
        </w:tc>
      </w:tr>
      <w:tr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>
              <w:t>Kb</w:t>
            </w:r>
          </w:p>
        </w:tc>
        <w:tc>
          <w:tcPr>
            <w:tcW w:type="dxa" w:w="2045"/>
          </w:tcPr>
          <w:p>
            <w:r>
              <w:t>Knowledge Base Boundaries</w:t>
              <w:br/>
              <w:t>Risk: Unauthorized Retrieval</w:t>
            </w:r>
          </w:p>
        </w:tc>
        <w:tc>
          <w:tcPr>
            <w:tcW w:type="dxa" w:w="2045"/>
          </w:tcPr>
          <w:p>
            <w:r>
              <w:t>Enforce permission-aware retrieval and connector controls</w:t>
            </w:r>
          </w:p>
        </w:tc>
        <w:tc>
          <w:tcPr>
            <w:tcW w:type="dxa" w:w="2045"/>
          </w:tcPr>
          <w:p>
            <w:r>
              <w:t>IT / SE / DA</w:t>
            </w:r>
          </w:p>
        </w:tc>
      </w:tr>
      <w:tr>
        <w:tc>
          <w:tcPr>
            <w:tcW w:type="dxa" w:w="2045"/>
          </w:tcPr>
          <w:p>
            <w:r>
              <w:t>Model &amp; Tool Safety</w:t>
            </w:r>
          </w:p>
        </w:tc>
        <w:tc>
          <w:tcPr>
            <w:tcW w:type="dxa" w:w="2045"/>
          </w:tcPr>
          <w:p>
            <w:r>
              <w:t>Ev</w:t>
            </w:r>
          </w:p>
        </w:tc>
        <w:tc>
          <w:tcPr>
            <w:tcW w:type="dxa" w:w="2045"/>
          </w:tcPr>
          <w:p>
            <w:r>
              <w:t>Pre-Serve Evaluation</w:t>
              <w:br/>
              <w:t>Risk: Unsafe Deployment</w:t>
            </w:r>
          </w:p>
        </w:tc>
        <w:tc>
          <w:tcPr>
            <w:tcW w:type="dxa" w:w="2045"/>
          </w:tcPr>
          <w:p>
            <w:r>
              <w:t>Test performance, robustness, misuse, and bias before production</w:t>
            </w:r>
          </w:p>
        </w:tc>
        <w:tc>
          <w:tcPr>
            <w:tcW w:type="dxa" w:w="2045"/>
          </w:tcPr>
          <w:p>
            <w:r>
              <w:t>BU / SE / AG</w:t>
            </w:r>
          </w:p>
        </w:tc>
      </w:tr>
      <w:tr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>
              <w:t>Ss</w:t>
            </w:r>
          </w:p>
        </w:tc>
        <w:tc>
          <w:tcPr>
            <w:tcW w:type="dxa" w:w="2045"/>
          </w:tcPr>
          <w:p>
            <w:r>
              <w:t>Secret Sauce Lockdown</w:t>
              <w:br/>
              <w:t>Risk: Embedded Secrets Exposure</w:t>
            </w:r>
          </w:p>
        </w:tc>
        <w:tc>
          <w:tcPr>
            <w:tcW w:type="dxa" w:w="2045"/>
          </w:tcPr>
          <w:p>
            <w:r>
              <w:t>Use vaulting, secret scanning, and protected authentication</w:t>
            </w:r>
          </w:p>
        </w:tc>
        <w:tc>
          <w:tcPr>
            <w:tcW w:type="dxa" w:w="2045"/>
          </w:tcPr>
          <w:p>
            <w:r>
              <w:t>EN / SE</w:t>
            </w:r>
          </w:p>
        </w:tc>
      </w:tr>
      <w:tr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>
              <w:t>Dt</w:t>
            </w:r>
          </w:p>
        </w:tc>
        <w:tc>
          <w:tcPr>
            <w:tcW w:type="dxa" w:w="2045"/>
          </w:tcPr>
          <w:p>
            <w:r>
              <w:t>Drift Tasting</w:t>
              <w:br/>
              <w:t>Risk: Behavioral Drift</w:t>
            </w:r>
          </w:p>
        </w:tc>
        <w:tc>
          <w:tcPr>
            <w:tcW w:type="dxa" w:w="2045"/>
          </w:tcPr>
          <w:p>
            <w:r>
              <w:t>Revalidate against benchmarks and review thresholds</w:t>
            </w:r>
          </w:p>
        </w:tc>
        <w:tc>
          <w:tcPr>
            <w:tcW w:type="dxa" w:w="2045"/>
          </w:tcPr>
          <w:p>
            <w:r>
              <w:t>BU / EN</w:t>
            </w:r>
          </w:p>
        </w:tc>
      </w:tr>
      <w:tr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>
              <w:t>Vr</w:t>
            </w:r>
          </w:p>
        </w:tc>
        <w:tc>
          <w:tcPr>
            <w:tcW w:type="dxa" w:w="2045"/>
          </w:tcPr>
          <w:p>
            <w:r>
              <w:t>Vendor Pantry Review</w:t>
              <w:br/>
              <w:t>Risk: Third-Party AI Exposure</w:t>
            </w:r>
          </w:p>
        </w:tc>
        <w:tc>
          <w:tcPr>
            <w:tcW w:type="dxa" w:w="2045"/>
          </w:tcPr>
          <w:p>
            <w:r>
              <w:t>Perform AI-specific vendor, legal, and security due diligence</w:t>
            </w:r>
          </w:p>
        </w:tc>
        <w:tc>
          <w:tcPr>
            <w:tcW w:type="dxa" w:w="2045"/>
          </w:tcPr>
          <w:p>
            <w:r>
              <w:t>PC / SE / LE</w:t>
            </w:r>
          </w:p>
        </w:tc>
      </w:tr>
      <w:tr>
        <w:tc>
          <w:tcPr>
            <w:tcW w:type="dxa" w:w="2045"/>
          </w:tcPr>
          <w:p>
            <w:r>
              <w:t>Agent &amp; Automation Controls</w:t>
            </w:r>
          </w:p>
        </w:tc>
        <w:tc>
          <w:tcPr>
            <w:tcW w:type="dxa" w:w="2045"/>
          </w:tcPr>
          <w:p>
            <w:r>
              <w:t>Tp</w:t>
            </w:r>
          </w:p>
        </w:tc>
        <w:tc>
          <w:tcPr>
            <w:tcW w:type="dxa" w:w="2045"/>
          </w:tcPr>
          <w:p>
            <w:r>
              <w:t>Tool Permission Gate</w:t>
              <w:br/>
              <w:t>Risk: Agent Overreach</w:t>
            </w:r>
          </w:p>
        </w:tc>
        <w:tc>
          <w:tcPr>
            <w:tcW w:type="dxa" w:w="2045"/>
          </w:tcPr>
          <w:p>
            <w:r>
              <w:t>Apply least privilege, scoped tool access, and action thresholds</w:t>
            </w:r>
          </w:p>
        </w:tc>
        <w:tc>
          <w:tcPr>
            <w:tcW w:type="dxa" w:w="2045"/>
          </w:tcPr>
          <w:p>
            <w:r>
              <w:t>IT / SE</w:t>
            </w:r>
          </w:p>
        </w:tc>
      </w:tr>
      <w:tr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>
              <w:t>Hi</w:t>
            </w:r>
          </w:p>
        </w:tc>
        <w:tc>
          <w:tcPr>
            <w:tcW w:type="dxa" w:w="2045"/>
          </w:tcPr>
          <w:p>
            <w:r>
              <w:t>Human Before High Impact</w:t>
              <w:br/>
              <w:t>Risk: Unchecked Automation</w:t>
            </w:r>
          </w:p>
        </w:tc>
        <w:tc>
          <w:tcPr>
            <w:tcW w:type="dxa" w:w="2045"/>
          </w:tcPr>
          <w:p>
            <w:r>
              <w:t>Require human approval for high-impact actions</w:t>
            </w:r>
          </w:p>
        </w:tc>
        <w:tc>
          <w:tcPr>
            <w:tcW w:type="dxa" w:w="2045"/>
          </w:tcPr>
          <w:p>
            <w:r>
              <w:t>BU / AG</w:t>
            </w:r>
          </w:p>
        </w:tc>
      </w:tr>
      <w:tr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>
              <w:t>Sb</w:t>
            </w:r>
          </w:p>
        </w:tc>
        <w:tc>
          <w:tcPr>
            <w:tcW w:type="dxa" w:w="2045"/>
          </w:tcPr>
          <w:p>
            <w:r>
              <w:t>Sandbox Before Service</w:t>
              <w:br/>
              <w:t>Risk: Unsafe Rollout</w:t>
            </w:r>
          </w:p>
        </w:tc>
        <w:tc>
          <w:tcPr>
            <w:tcW w:type="dxa" w:w="2045"/>
          </w:tcPr>
          <w:p>
            <w:r>
              <w:t>Use staging, pilots, rollback design, and controlled releases</w:t>
            </w:r>
          </w:p>
        </w:tc>
        <w:tc>
          <w:tcPr>
            <w:tcW w:type="dxa" w:w="2045"/>
          </w:tcPr>
          <w:p>
            <w:r>
              <w:t>EN / IT</w:t>
            </w:r>
          </w:p>
        </w:tc>
      </w:tr>
      <w:tr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>
              <w:t>Ks</w:t>
            </w:r>
          </w:p>
        </w:tc>
        <w:tc>
          <w:tcPr>
            <w:tcW w:type="dxa" w:w="2045"/>
          </w:tcPr>
          <w:p>
            <w:r>
              <w:t>Kill Switch on the Counter</w:t>
              <w:br/>
              <w:t>Risk: Runaway Behavior</w:t>
            </w:r>
          </w:p>
        </w:tc>
        <w:tc>
          <w:tcPr>
            <w:tcW w:type="dxa" w:w="2045"/>
          </w:tcPr>
          <w:p>
            <w:r>
              <w:t>Enable emergency disablement and connector revocation</w:t>
            </w:r>
          </w:p>
        </w:tc>
        <w:tc>
          <w:tcPr>
            <w:tcW w:type="dxa" w:w="2045"/>
          </w:tcPr>
          <w:p>
            <w:r>
              <w:t>SE / IT</w:t>
            </w:r>
          </w:p>
        </w:tc>
      </w:tr>
      <w:tr>
        <w:tc>
          <w:tcPr>
            <w:tcW w:type="dxa" w:w="2045"/>
          </w:tcPr>
          <w:p>
            <w:r>
              <w:t>Decision &amp; Human Oversight</w:t>
            </w:r>
          </w:p>
        </w:tc>
        <w:tc>
          <w:tcPr>
            <w:tcW w:type="dxa" w:w="2045"/>
          </w:tcPr>
          <w:p>
            <w:r>
              <w:t>Ex</w:t>
            </w:r>
          </w:p>
        </w:tc>
        <w:tc>
          <w:tcPr>
            <w:tcW w:type="dxa" w:w="2045"/>
          </w:tcPr>
          <w:p>
            <w:r>
              <w:t>Explain the Dish</w:t>
              <w:br/>
              <w:t>Risk: Opaque Outputs</w:t>
            </w:r>
          </w:p>
        </w:tc>
        <w:tc>
          <w:tcPr>
            <w:tcW w:type="dxa" w:w="2045"/>
          </w:tcPr>
          <w:p>
            <w:r>
              <w:t>Require rationale, notices, and traceability where appropriate</w:t>
            </w:r>
          </w:p>
        </w:tc>
        <w:tc>
          <w:tcPr>
            <w:tcW w:type="dxa" w:w="2045"/>
          </w:tcPr>
          <w:p>
            <w:r>
              <w:t>BU / LE</w:t>
            </w:r>
          </w:p>
        </w:tc>
      </w:tr>
      <w:tr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>
              <w:t>Ea</w:t>
            </w:r>
          </w:p>
        </w:tc>
        <w:tc>
          <w:tcPr>
            <w:tcW w:type="dxa" w:w="2045"/>
          </w:tcPr>
          <w:p>
            <w:r>
              <w:t>Escalate Ambiguous Orders</w:t>
              <w:br/>
              <w:t>Risk: Harmful Outcomes</w:t>
            </w:r>
          </w:p>
        </w:tc>
        <w:tc>
          <w:tcPr>
            <w:tcW w:type="dxa" w:w="2045"/>
          </w:tcPr>
          <w:p>
            <w:r>
              <w:t>Define exception triggers and human escalation rules</w:t>
            </w:r>
          </w:p>
        </w:tc>
        <w:tc>
          <w:tcPr>
            <w:tcW w:type="dxa" w:w="2045"/>
          </w:tcPr>
          <w:p>
            <w:r>
              <w:t>BU</w:t>
            </w:r>
          </w:p>
        </w:tc>
      </w:tr>
      <w:tr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>
              <w:t>Bt</w:t>
            </w:r>
          </w:p>
        </w:tc>
        <w:tc>
          <w:tcPr>
            <w:tcW w:type="dxa" w:w="2045"/>
          </w:tcPr>
          <w:p>
            <w:r>
              <w:t>Bias &amp; Fairness Taste Test</w:t>
              <w:br/>
              <w:t>Risk: Unfair Outcomes</w:t>
            </w:r>
          </w:p>
        </w:tc>
        <w:tc>
          <w:tcPr>
            <w:tcW w:type="dxa" w:w="2045"/>
          </w:tcPr>
          <w:p>
            <w:r>
              <w:t>Conduct fairness review and remediation for high-impact uses</w:t>
            </w:r>
          </w:p>
        </w:tc>
        <w:tc>
          <w:tcPr>
            <w:tcW w:type="dxa" w:w="2045"/>
          </w:tcPr>
          <w:p>
            <w:r>
              <w:t>LE / BU / AG</w:t>
            </w:r>
          </w:p>
        </w:tc>
      </w:tr>
      <w:tr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>
              <w:t>Hr</w:t>
            </w:r>
          </w:p>
        </w:tc>
        <w:tc>
          <w:tcPr>
            <w:tcW w:type="dxa" w:w="2045"/>
          </w:tcPr>
          <w:p>
            <w:r>
              <w:t>High-Risk Use Case Flag</w:t>
              <w:br/>
              <w:t>Risk: Sensitive Use Cases</w:t>
            </w:r>
          </w:p>
        </w:tc>
        <w:tc>
          <w:tcPr>
            <w:tcW w:type="dxa" w:w="2045"/>
          </w:tcPr>
          <w:p>
            <w:r>
              <w:t>Apply intake triage, risk tiering, and enhanced approval</w:t>
            </w:r>
          </w:p>
        </w:tc>
        <w:tc>
          <w:tcPr>
            <w:tcW w:type="dxa" w:w="2045"/>
          </w:tcPr>
          <w:p>
            <w:r>
              <w:t>AG</w:t>
            </w:r>
          </w:p>
        </w:tc>
      </w:tr>
      <w:tr>
        <w:tc>
          <w:tcPr>
            <w:tcW w:type="dxa" w:w="2045"/>
          </w:tcPr>
          <w:p>
            <w:r>
              <w:t>Assurance, Monitoring &amp; Response</w:t>
            </w:r>
          </w:p>
        </w:tc>
        <w:tc>
          <w:tcPr>
            <w:tcW w:type="dxa" w:w="2045"/>
          </w:tcPr>
          <w:p>
            <w:r>
              <w:t>In</w:t>
            </w:r>
          </w:p>
        </w:tc>
        <w:tc>
          <w:tcPr>
            <w:tcW w:type="dxa" w:w="2045"/>
          </w:tcPr>
          <w:p>
            <w:r>
              <w:t>Full Kitchen Inventory</w:t>
              <w:br/>
              <w:t>Risk: Unknown AI Systems</w:t>
            </w:r>
          </w:p>
        </w:tc>
        <w:tc>
          <w:tcPr>
            <w:tcW w:type="dxa" w:w="2045"/>
          </w:tcPr>
          <w:p>
            <w:r>
              <w:t>Maintain AI system registry with owners, vendors, data, and status</w:t>
            </w:r>
          </w:p>
        </w:tc>
        <w:tc>
          <w:tcPr>
            <w:tcW w:type="dxa" w:w="2045"/>
          </w:tcPr>
          <w:p>
            <w:r>
              <w:t>AG / IT</w:t>
            </w:r>
          </w:p>
        </w:tc>
      </w:tr>
      <w:tr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>
              <w:t>Lg</w:t>
            </w:r>
          </w:p>
        </w:tc>
        <w:tc>
          <w:tcPr>
            <w:tcW w:type="dxa" w:w="2045"/>
          </w:tcPr>
          <w:p>
            <w:r>
              <w:t>Kitchen Camera Logs</w:t>
              <w:br/>
              <w:t>Risk: Weak Auditability</w:t>
            </w:r>
          </w:p>
        </w:tc>
        <w:tc>
          <w:tcPr>
            <w:tcW w:type="dxa" w:w="2045"/>
          </w:tcPr>
          <w:p>
            <w:r>
              <w:t>Log prompts, tool calls, approvals, changes, exceptions, and incidents</w:t>
            </w:r>
          </w:p>
        </w:tc>
        <w:tc>
          <w:tcPr>
            <w:tcW w:type="dxa" w:w="2045"/>
          </w:tcPr>
          <w:p>
            <w:r>
              <w:t>SE / IT</w:t>
            </w:r>
          </w:p>
        </w:tc>
      </w:tr>
      <w:tr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>
              <w:t>Ir</w:t>
            </w:r>
          </w:p>
        </w:tc>
        <w:tc>
          <w:tcPr>
            <w:tcW w:type="dxa" w:w="2045"/>
          </w:tcPr>
          <w:p>
            <w:r>
              <w:t>Burn Response Plan</w:t>
              <w:br/>
              <w:t>Risk: No AI Incident Handling</w:t>
            </w:r>
          </w:p>
        </w:tc>
        <w:tc>
          <w:tcPr>
            <w:tcW w:type="dxa" w:w="2045"/>
          </w:tcPr>
          <w:p>
            <w:r>
              <w:t>Create AI incident response playbook</w:t>
            </w:r>
          </w:p>
        </w:tc>
        <w:tc>
          <w:tcPr>
            <w:tcW w:type="dxa" w:w="2045"/>
          </w:tcPr>
          <w:p>
            <w:r>
              <w:t>SE / PR / LE / IT</w:t>
            </w:r>
          </w:p>
        </w:tc>
      </w:tr>
      <w:tr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>
              <w:t>Qr</w:t>
            </w:r>
          </w:p>
        </w:tc>
        <w:tc>
          <w:tcPr>
            <w:tcW w:type="dxa" w:w="2045"/>
          </w:tcPr>
          <w:p>
            <w:r>
              <w:t>Quarterly Recipe Review</w:t>
              <w:br/>
              <w:t>Risk: Control Decay</w:t>
            </w:r>
          </w:p>
        </w:tc>
        <w:tc>
          <w:tcPr>
            <w:tcW w:type="dxa" w:w="2045"/>
          </w:tcPr>
          <w:p>
            <w:r>
              <w:t>Review metrics, open risks, exceptions, and maturity quarterly</w:t>
            </w:r>
          </w:p>
        </w:tc>
        <w:tc>
          <w:tcPr>
            <w:tcW w:type="dxa" w:w="2045"/>
          </w:tcPr>
          <w:p>
            <w:r>
              <w:t>AG / EX</w:t>
            </w:r>
          </w:p>
        </w:tc>
      </w:tr>
    </w:tbl>
    <w:p>
      <w:r>
        <w:br w:type="page"/>
      </w:r>
    </w:p>
    <w:p>
      <w:pPr>
        <w:pStyle w:val="H1Gov"/>
      </w:pPr>
      <w:r>
        <w:t>Ownership Model and RACI</w:t>
      </w:r>
    </w:p>
    <w:p>
      <w:r>
        <w:t>Primary roles</w:t>
      </w:r>
    </w:p>
    <w:p>
      <w:pPr>
        <w:pStyle w:val="ListBullet"/>
      </w:pPr>
      <w:r>
        <w:t>Executive Sponsor (EX): accountably backs the program and clears roadblocks.</w:t>
      </w:r>
    </w:p>
    <w:p>
      <w:pPr>
        <w:pStyle w:val="ListBullet"/>
      </w:pPr>
      <w:r>
        <w:t>AI Governance Lead (AG): operates the framework, intake, reviews, and reporting.</w:t>
      </w:r>
    </w:p>
    <w:p>
      <w:pPr>
        <w:pStyle w:val="ListBullet"/>
      </w:pPr>
      <w:r>
        <w:t>IT / Platform Owner (IT): manages enablement, access, integration, and platform controls.</w:t>
      </w:r>
    </w:p>
    <w:p>
      <w:pPr>
        <w:pStyle w:val="ListBullet"/>
      </w:pPr>
      <w:r>
        <w:t>Security (SE): enforces security controls, monitoring, and incident coordination.</w:t>
      </w:r>
    </w:p>
    <w:p>
      <w:pPr>
        <w:pStyle w:val="ListBullet"/>
      </w:pPr>
      <w:r>
        <w:t>Privacy (PR): covers personal-data handling, retention, and privacy reviews.</w:t>
      </w:r>
    </w:p>
    <w:p>
      <w:pPr>
        <w:pStyle w:val="ListBullet"/>
      </w:pPr>
      <w:r>
        <w:t>Legal / Compliance (LE): addresses regulatory, contractual, and policy interpretations.</w:t>
      </w:r>
    </w:p>
    <w:p>
      <w:pPr>
        <w:pStyle w:val="ListBullet"/>
      </w:pPr>
      <w:r>
        <w:t>Data Owner / Governance (DA): owns data quality, provenance, and approved access.</w:t>
      </w:r>
    </w:p>
    <w:p>
      <w:pPr>
        <w:pStyle w:val="ListBullet"/>
      </w:pPr>
      <w:r>
        <w:t>Business Owner (BU): owns the use case, benefits, and outcome accountability.</w:t>
      </w:r>
    </w:p>
    <w:p>
      <w:pPr>
        <w:pStyle w:val="ListBullet"/>
      </w:pPr>
      <w:r>
        <w:t>Procurement / Vendor Risk (PC): performs third-party diligence and contract coordination.</w:t>
      </w:r>
    </w:p>
    <w:p>
      <w:pPr>
        <w:pStyle w:val="ListBullet"/>
      </w:pPr>
      <w:r>
        <w:t>Engineering / Product (EN): implements technical safeguards and rollout design.</w:t>
      </w:r>
    </w:p>
    <w:p>
      <w:pPr>
        <w:pStyle w:val="H2Gov"/>
      </w:pPr>
      <w:r>
        <w:t>Sample RACI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366D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Recipe</w:t>
            </w:r>
          </w:p>
        </w:tc>
        <w:tc>
          <w:tcPr>
            <w:tcW w:type="dxa" w:w="1704"/>
            <w:shd w:fill="1366D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EX</w:t>
            </w:r>
          </w:p>
        </w:tc>
        <w:tc>
          <w:tcPr>
            <w:tcW w:type="dxa" w:w="1704"/>
            <w:shd w:fill="1366D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AG</w:t>
            </w:r>
          </w:p>
        </w:tc>
        <w:tc>
          <w:tcPr>
            <w:tcW w:type="dxa" w:w="1704"/>
            <w:shd w:fill="1366D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IT</w:t>
            </w:r>
          </w:p>
        </w:tc>
        <w:tc>
          <w:tcPr>
            <w:tcW w:type="dxa" w:w="1704"/>
            <w:shd w:fill="1366D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SE</w:t>
            </w:r>
          </w:p>
        </w:tc>
        <w:tc>
          <w:tcPr>
            <w:tcW w:type="dxa" w:w="1704"/>
            <w:shd w:fill="1366D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BU</w:t>
            </w:r>
          </w:p>
        </w:tc>
      </w:tr>
      <w:tr>
        <w:tc>
          <w:tcPr>
            <w:tcW w:type="dxa" w:w="1704"/>
          </w:tcPr>
          <w:p>
            <w:r>
              <w:t>Head Chef Assignment</w:t>
            </w:r>
          </w:p>
        </w:tc>
        <w:tc>
          <w:tcPr>
            <w:tcW w:type="dxa" w:w="1704"/>
          </w:tcPr>
          <w:p>
            <w:r>
              <w:t>A</w:t>
            </w:r>
          </w:p>
        </w:tc>
        <w:tc>
          <w:tcPr>
            <w:tcW w:type="dxa" w:w="1704"/>
          </w:tcPr>
          <w:p>
            <w:r>
              <w:t>R</w:t>
            </w:r>
          </w:p>
        </w:tc>
        <w:tc>
          <w:tcPr>
            <w:tcW w:type="dxa" w:w="1704"/>
          </w:tcPr>
          <w:p>
            <w:r>
              <w:t>C</w:t>
            </w:r>
          </w:p>
        </w:tc>
        <w:tc>
          <w:tcPr>
            <w:tcW w:type="dxa" w:w="1704"/>
          </w:tcPr>
          <w:p>
            <w:r>
              <w:t>C</w:t>
            </w:r>
          </w:p>
        </w:tc>
        <w:tc>
          <w:tcPr>
            <w:tcW w:type="dxa" w:w="1704"/>
          </w:tcPr>
          <w:p>
            <w:r>
              <w:t>I</w:t>
            </w:r>
          </w:p>
        </w:tc>
      </w:tr>
      <w:tr>
        <w:tc>
          <w:tcPr>
            <w:tcW w:type="dxa" w:w="1704"/>
          </w:tcPr>
          <w:p>
            <w:r>
              <w:t>Approved Menu Only</w:t>
            </w:r>
          </w:p>
        </w:tc>
        <w:tc>
          <w:tcPr>
            <w:tcW w:type="dxa" w:w="1704"/>
          </w:tcPr>
          <w:p>
            <w:r>
              <w:t>I</w:t>
            </w:r>
          </w:p>
        </w:tc>
        <w:tc>
          <w:tcPr>
            <w:tcW w:type="dxa" w:w="1704"/>
          </w:tcPr>
          <w:p>
            <w:r>
              <w:t>C</w:t>
            </w:r>
          </w:p>
        </w:tc>
        <w:tc>
          <w:tcPr>
            <w:tcW w:type="dxa" w:w="1704"/>
          </w:tcPr>
          <w:p>
            <w:r>
              <w:t>R</w:t>
            </w:r>
          </w:p>
        </w:tc>
        <w:tc>
          <w:tcPr>
            <w:tcW w:type="dxa" w:w="1704"/>
          </w:tcPr>
          <w:p>
            <w:r>
              <w:t>A</w:t>
            </w:r>
          </w:p>
        </w:tc>
        <w:tc>
          <w:tcPr>
            <w:tcW w:type="dxa" w:w="1704"/>
          </w:tcPr>
          <w:p>
            <w:r>
              <w:t>C</w:t>
            </w:r>
          </w:p>
        </w:tc>
      </w:tr>
      <w:tr>
        <w:tc>
          <w:tcPr>
            <w:tcW w:type="dxa" w:w="1704"/>
          </w:tcPr>
          <w:p>
            <w:r>
              <w:t>High-Risk Use Case Flag</w:t>
            </w:r>
          </w:p>
        </w:tc>
        <w:tc>
          <w:tcPr>
            <w:tcW w:type="dxa" w:w="1704"/>
          </w:tcPr>
          <w:p>
            <w:r>
              <w:t>C</w:t>
            </w:r>
          </w:p>
        </w:tc>
        <w:tc>
          <w:tcPr>
            <w:tcW w:type="dxa" w:w="1704"/>
          </w:tcPr>
          <w:p>
            <w:r>
              <w:t>A</w:t>
            </w:r>
          </w:p>
        </w:tc>
        <w:tc>
          <w:tcPr>
            <w:tcW w:type="dxa" w:w="1704"/>
          </w:tcPr>
          <w:p>
            <w:r>
              <w:t>I</w:t>
            </w:r>
          </w:p>
        </w:tc>
        <w:tc>
          <w:tcPr>
            <w:tcW w:type="dxa" w:w="1704"/>
          </w:tcPr>
          <w:p>
            <w:r>
              <w:t>C</w:t>
            </w:r>
          </w:p>
        </w:tc>
        <w:tc>
          <w:tcPr>
            <w:tcW w:type="dxa" w:w="1704"/>
          </w:tcPr>
          <w:p>
            <w:r>
              <w:t>R</w:t>
            </w:r>
          </w:p>
        </w:tc>
      </w:tr>
      <w:tr>
        <w:tc>
          <w:tcPr>
            <w:tcW w:type="dxa" w:w="1704"/>
          </w:tcPr>
          <w:p>
            <w:r>
              <w:t>Burn Response Plan</w:t>
            </w:r>
          </w:p>
        </w:tc>
        <w:tc>
          <w:tcPr>
            <w:tcW w:type="dxa" w:w="1704"/>
          </w:tcPr>
          <w:p>
            <w:r>
              <w:t>C</w:t>
            </w:r>
          </w:p>
        </w:tc>
        <w:tc>
          <w:tcPr>
            <w:tcW w:type="dxa" w:w="1704"/>
          </w:tcPr>
          <w:p>
            <w:r>
              <w:t>C</w:t>
            </w:r>
          </w:p>
        </w:tc>
        <w:tc>
          <w:tcPr>
            <w:tcW w:type="dxa" w:w="1704"/>
          </w:tcPr>
          <w:p>
            <w:r>
              <w:t>R</w:t>
            </w:r>
          </w:p>
        </w:tc>
        <w:tc>
          <w:tcPr>
            <w:tcW w:type="dxa" w:w="1704"/>
          </w:tcPr>
          <w:p>
            <w:r>
              <w:t>A</w:t>
            </w:r>
          </w:p>
        </w:tc>
        <w:tc>
          <w:tcPr>
            <w:tcW w:type="dxa" w:w="1704"/>
          </w:tcPr>
          <w:p>
            <w:r>
              <w:t>I</w:t>
            </w:r>
          </w:p>
        </w:tc>
      </w:tr>
    </w:tbl>
    <w:p>
      <w:r>
        <w:t>Escalation path: Business Owner -&gt; AI Governance Lead -&gt; Security/Privacy/Legal as needed -&gt; Executive Sponsor for Tier 4 or exception approvals.</w:t>
      </w:r>
    </w:p>
    <w:p>
      <w:r>
        <w:br w:type="page"/>
      </w:r>
    </w:p>
    <w:p>
      <w:pPr>
        <w:pStyle w:val="H1Gov"/>
      </w:pPr>
      <w:r>
        <w:t>AI Use Case Intake and Risk Tiering</w:t>
      </w:r>
    </w:p>
    <w:p>
      <w:pPr>
        <w:pStyle w:val="H2Gov"/>
      </w:pPr>
      <w:r>
        <w:t>Required intake questions</w:t>
      </w:r>
    </w:p>
    <w:p>
      <w:pPr>
        <w:pStyle w:val="ListBullet"/>
      </w:pPr>
      <w:r>
        <w:t>Business purpose and intended outcome</w:t>
      </w:r>
    </w:p>
    <w:p>
      <w:pPr>
        <w:pStyle w:val="ListBullet"/>
      </w:pPr>
      <w:r>
        <w:t>AI capability type and provider</w:t>
      </w:r>
    </w:p>
    <w:p>
      <w:pPr>
        <w:pStyle w:val="ListBullet"/>
      </w:pPr>
      <w:r>
        <w:t>Internal-only or external/customer-facing use</w:t>
      </w:r>
    </w:p>
    <w:p>
      <w:pPr>
        <w:pStyle w:val="ListBullet"/>
      </w:pPr>
      <w:r>
        <w:t>Data sensitivity and regulated-data exposure</w:t>
      </w:r>
    </w:p>
    <w:p>
      <w:pPr>
        <w:pStyle w:val="ListBullet"/>
      </w:pPr>
      <w:r>
        <w:t>Decision impact and human oversight requirement</w:t>
      </w:r>
    </w:p>
    <w:p>
      <w:pPr>
        <w:pStyle w:val="ListBullet"/>
      </w:pPr>
      <w:r>
        <w:t>Automated actions or tool permissions</w:t>
      </w:r>
    </w:p>
    <w:p>
      <w:pPr>
        <w:pStyle w:val="ListBullet"/>
      </w:pPr>
      <w:r>
        <w:t>Third-party/vendor dependence</w:t>
      </w:r>
    </w:p>
    <w:p>
      <w:pPr>
        <w:pStyle w:val="ListBullet"/>
      </w:pPr>
      <w:r>
        <w:t>Applicable regulations or contractual obligations</w:t>
      </w:r>
    </w:p>
    <w:p>
      <w:pPr>
        <w:pStyle w:val="H2Gov"/>
      </w:pPr>
      <w:r>
        <w:t>Risk tier logic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2E8B57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Tier</w:t>
            </w:r>
          </w:p>
        </w:tc>
        <w:tc>
          <w:tcPr>
            <w:tcW w:type="dxa" w:w="2556"/>
            <w:shd w:fill="2E8B57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2556"/>
            <w:shd w:fill="2E8B57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Use</w:t>
            </w:r>
          </w:p>
        </w:tc>
        <w:tc>
          <w:tcPr>
            <w:tcW w:type="dxa" w:w="2556"/>
            <w:shd w:fill="2E8B57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Default expectation</w:t>
            </w:r>
          </w:p>
        </w:tc>
      </w:tr>
      <w:tr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Low</w:t>
            </w:r>
          </w:p>
        </w:tc>
        <w:tc>
          <w:tcPr>
            <w:tcW w:type="dxa" w:w="2556"/>
          </w:tcPr>
          <w:p>
            <w:r>
              <w:t>Internal productivity with low sensitivity</w:t>
            </w:r>
          </w:p>
        </w:tc>
        <w:tc>
          <w:tcPr>
            <w:tcW w:type="dxa" w:w="2556"/>
          </w:tcPr>
          <w:p>
            <w:r>
              <w:t>Standard controls and owner assignment</w:t>
            </w:r>
          </w:p>
        </w:tc>
      </w:tr>
      <w:tr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Moderate</w:t>
            </w:r>
          </w:p>
        </w:tc>
        <w:tc>
          <w:tcPr>
            <w:tcW w:type="dxa" w:w="2556"/>
          </w:tcPr>
          <w:p>
            <w:r>
              <w:t>Business workflow support with moderate data sensitivity</w:t>
            </w:r>
          </w:p>
        </w:tc>
        <w:tc>
          <w:tcPr>
            <w:tcW w:type="dxa" w:w="2556"/>
          </w:tcPr>
          <w:p>
            <w:r>
              <w:t>Documented review and evidence requirements</w:t>
            </w:r>
          </w:p>
        </w:tc>
      </w:tr>
      <w:tr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High</w:t>
            </w:r>
          </w:p>
        </w:tc>
        <w:tc>
          <w:tcPr>
            <w:tcW w:type="dxa" w:w="2556"/>
          </w:tcPr>
          <w:p>
            <w:r>
              <w:t>Sensitive data, consequential outputs, or customer impact</w:t>
            </w:r>
          </w:p>
        </w:tc>
        <w:tc>
          <w:tcPr>
            <w:tcW w:type="dxa" w:w="2556"/>
          </w:tcPr>
          <w:p>
            <w:r>
              <w:t>Enhanced controls and multi-function approval</w:t>
            </w:r>
          </w:p>
        </w:tc>
      </w:tr>
      <w:tr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Prohibited / Executive Review</w:t>
            </w:r>
          </w:p>
        </w:tc>
        <w:tc>
          <w:tcPr>
            <w:tcW w:type="dxa" w:w="2556"/>
          </w:tcPr>
          <w:p>
            <w:r>
              <w:t>Unsafe, disallowed, or materially high-risk use</w:t>
            </w:r>
          </w:p>
        </w:tc>
        <w:tc>
          <w:tcPr>
            <w:tcW w:type="dxa" w:w="2556"/>
          </w:tcPr>
          <w:p>
            <w:r>
              <w:t>Block or route to Executive Sponsor</w:t>
            </w:r>
          </w:p>
        </w:tc>
      </w:tr>
    </w:tbl>
    <w:p>
      <w:r>
        <w:br w:type="page"/>
      </w:r>
    </w:p>
    <w:p>
      <w:pPr>
        <w:pStyle w:val="H1Gov"/>
      </w:pPr>
      <w:r>
        <w:t>Policy-to-Control Mapping Baseline</w:t>
      </w:r>
    </w:p>
    <w:p>
      <w:r>
        <w:t>Use this baseline to turn policy language into minimum and enhanced operational controls.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E67E22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Policy Theme</w:t>
            </w:r>
          </w:p>
        </w:tc>
        <w:tc>
          <w:tcPr>
            <w:tcW w:type="dxa" w:w="2045"/>
            <w:shd w:fill="E67E22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Required statement</w:t>
            </w:r>
          </w:p>
        </w:tc>
        <w:tc>
          <w:tcPr>
            <w:tcW w:type="dxa" w:w="2045"/>
            <w:shd w:fill="E67E22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Minimum control</w:t>
            </w:r>
          </w:p>
        </w:tc>
        <w:tc>
          <w:tcPr>
            <w:tcW w:type="dxa" w:w="2045"/>
            <w:shd w:fill="E67E22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Enhanced control</w:t>
            </w:r>
          </w:p>
        </w:tc>
        <w:tc>
          <w:tcPr>
            <w:tcW w:type="dxa" w:w="2045"/>
            <w:shd w:fill="E67E22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Evidence</w:t>
            </w:r>
          </w:p>
        </w:tc>
      </w:tr>
      <w:tr>
        <w:tc>
          <w:tcPr>
            <w:tcW w:type="dxa" w:w="2045"/>
          </w:tcPr>
          <w:p>
            <w:r>
              <w:t>Acceptable Use</w:t>
            </w:r>
          </w:p>
        </w:tc>
        <w:tc>
          <w:tcPr>
            <w:tcW w:type="dxa" w:w="2045"/>
          </w:tcPr>
          <w:p>
            <w:r>
              <w:t>Use approved tools only for approved purposes</w:t>
            </w:r>
          </w:p>
        </w:tc>
        <w:tc>
          <w:tcPr>
            <w:tcW w:type="dxa" w:w="2045"/>
          </w:tcPr>
          <w:p>
            <w:r>
              <w:t>Approved tools register and owner assignment</w:t>
            </w:r>
          </w:p>
        </w:tc>
        <w:tc>
          <w:tcPr>
            <w:tcW w:type="dxa" w:w="2045"/>
          </w:tcPr>
          <w:p>
            <w:r>
              <w:t>Periodic usage review and exception workflow</w:t>
            </w:r>
          </w:p>
        </w:tc>
        <w:tc>
          <w:tcPr>
            <w:tcW w:type="dxa" w:w="2045"/>
          </w:tcPr>
          <w:p>
            <w:r>
              <w:t>Tool list, approvals</w:t>
            </w:r>
          </w:p>
        </w:tc>
      </w:tr>
      <w:tr>
        <w:tc>
          <w:tcPr>
            <w:tcW w:type="dxa" w:w="2045"/>
          </w:tcPr>
          <w:p>
            <w:r>
              <w:t>Data Handling</w:t>
            </w:r>
          </w:p>
        </w:tc>
        <w:tc>
          <w:tcPr>
            <w:tcW w:type="dxa" w:w="2045"/>
          </w:tcPr>
          <w:p>
            <w:r>
              <w:t>Do not expose sensitive data without authorization</w:t>
            </w:r>
          </w:p>
        </w:tc>
        <w:tc>
          <w:tcPr>
            <w:tcW w:type="dxa" w:w="2045"/>
          </w:tcPr>
          <w:p>
            <w:r>
              <w:t>Classification and input restrictions</w:t>
            </w:r>
          </w:p>
        </w:tc>
        <w:tc>
          <w:tcPr>
            <w:tcW w:type="dxa" w:w="2045"/>
          </w:tcPr>
          <w:p>
            <w:r>
              <w:t>DLP, redaction, connector segmentation</w:t>
            </w:r>
          </w:p>
        </w:tc>
        <w:tc>
          <w:tcPr>
            <w:tcW w:type="dxa" w:w="2045"/>
          </w:tcPr>
          <w:p>
            <w:r>
              <w:t>Classification guidance, logs</w:t>
            </w:r>
          </w:p>
        </w:tc>
      </w:tr>
      <w:tr>
        <w:tc>
          <w:tcPr>
            <w:tcW w:type="dxa" w:w="2045"/>
          </w:tcPr>
          <w:p>
            <w:r>
              <w:t>Human Oversight</w:t>
            </w:r>
          </w:p>
        </w:tc>
        <w:tc>
          <w:tcPr>
            <w:tcW w:type="dxa" w:w="2045"/>
          </w:tcPr>
          <w:p>
            <w:r>
              <w:t>High-impact outputs require human review</w:t>
            </w:r>
          </w:p>
        </w:tc>
        <w:tc>
          <w:tcPr>
            <w:tcW w:type="dxa" w:w="2045"/>
          </w:tcPr>
          <w:p>
            <w:r>
              <w:t>Defined approval threshold</w:t>
            </w:r>
          </w:p>
        </w:tc>
        <w:tc>
          <w:tcPr>
            <w:tcW w:type="dxa" w:w="2045"/>
          </w:tcPr>
          <w:p>
            <w:r>
              <w:t>Dual approval or specialist sign-off</w:t>
            </w:r>
          </w:p>
        </w:tc>
        <w:tc>
          <w:tcPr>
            <w:tcW w:type="dxa" w:w="2045"/>
          </w:tcPr>
          <w:p>
            <w:r>
              <w:t>Review records</w:t>
            </w:r>
          </w:p>
        </w:tc>
      </w:tr>
      <w:tr>
        <w:tc>
          <w:tcPr>
            <w:tcW w:type="dxa" w:w="2045"/>
          </w:tcPr>
          <w:p>
            <w:r>
              <w:t>Vendor Review</w:t>
            </w:r>
          </w:p>
        </w:tc>
        <w:tc>
          <w:tcPr>
            <w:tcW w:type="dxa" w:w="2045"/>
          </w:tcPr>
          <w:p>
            <w:r>
              <w:t>Third-party AI providers require diligence</w:t>
            </w:r>
          </w:p>
        </w:tc>
        <w:tc>
          <w:tcPr>
            <w:tcW w:type="dxa" w:w="2045"/>
          </w:tcPr>
          <w:p>
            <w:r>
              <w:t>Security/legal review</w:t>
            </w:r>
          </w:p>
        </w:tc>
        <w:tc>
          <w:tcPr>
            <w:tcW w:type="dxa" w:w="2045"/>
          </w:tcPr>
          <w:p>
            <w:r>
              <w:t>Ongoing reassessment and contract safeguards</w:t>
            </w:r>
          </w:p>
        </w:tc>
        <w:tc>
          <w:tcPr>
            <w:tcW w:type="dxa" w:w="2045"/>
          </w:tcPr>
          <w:p>
            <w:r>
              <w:t>Vendor review pack</w:t>
            </w:r>
          </w:p>
        </w:tc>
      </w:tr>
      <w:tr>
        <w:tc>
          <w:tcPr>
            <w:tcW w:type="dxa" w:w="2045"/>
          </w:tcPr>
          <w:p>
            <w:r>
              <w:t>Logging &amp; Monitoring</w:t>
            </w:r>
          </w:p>
        </w:tc>
        <w:tc>
          <w:tcPr>
            <w:tcW w:type="dxa" w:w="2045"/>
          </w:tcPr>
          <w:p>
            <w:r>
              <w:t>Material AI activity must be auditable</w:t>
            </w:r>
          </w:p>
        </w:tc>
        <w:tc>
          <w:tcPr>
            <w:tcW w:type="dxa" w:w="2045"/>
          </w:tcPr>
          <w:p>
            <w:r>
              <w:t>Prompt/tool/approval logging</w:t>
            </w:r>
          </w:p>
        </w:tc>
        <w:tc>
          <w:tcPr>
            <w:tcW w:type="dxa" w:w="2045"/>
          </w:tcPr>
          <w:p>
            <w:r>
              <w:t>Alerting, anomaly checks, and periodic review</w:t>
            </w:r>
          </w:p>
        </w:tc>
        <w:tc>
          <w:tcPr>
            <w:tcW w:type="dxa" w:w="2045"/>
          </w:tcPr>
          <w:p>
            <w:r>
              <w:t>Logs, review summaries</w:t>
            </w:r>
          </w:p>
        </w:tc>
      </w:tr>
      <w:tr>
        <w:tc>
          <w:tcPr>
            <w:tcW w:type="dxa" w:w="2045"/>
          </w:tcPr>
          <w:p>
            <w:r>
              <w:t>Incident Response</w:t>
            </w:r>
          </w:p>
        </w:tc>
        <w:tc>
          <w:tcPr>
            <w:tcW w:type="dxa" w:w="2045"/>
          </w:tcPr>
          <w:p>
            <w:r>
              <w:t>AI incidents must be escalated rapidly</w:t>
            </w:r>
          </w:p>
        </w:tc>
        <w:tc>
          <w:tcPr>
            <w:tcW w:type="dxa" w:w="2045"/>
          </w:tcPr>
          <w:p>
            <w:r>
              <w:t>AI incident categories and owner list</w:t>
            </w:r>
          </w:p>
        </w:tc>
        <w:tc>
          <w:tcPr>
            <w:tcW w:type="dxa" w:w="2045"/>
          </w:tcPr>
          <w:p>
            <w:r>
              <w:t>Playbooks, tabletop tests, lessons learned</w:t>
            </w:r>
          </w:p>
        </w:tc>
        <w:tc>
          <w:tcPr>
            <w:tcW w:type="dxa" w:w="2045"/>
          </w:tcPr>
          <w:p>
            <w:r>
              <w:t>Incident tickets, PIRs</w:t>
            </w:r>
          </w:p>
        </w:tc>
      </w:tr>
    </w:tbl>
    <w:p>
      <w:r>
        <w:br w:type="page"/>
      </w:r>
    </w:p>
    <w:p>
      <w:pPr>
        <w:pStyle w:val="H1Gov"/>
      </w:pPr>
      <w:r>
        <w:t>AI Incident Response Playbook</w:t>
      </w:r>
    </w:p>
    <w:p>
      <w:pPr>
        <w:pStyle w:val="H2Gov"/>
      </w:pPr>
      <w:r>
        <w:t>Incident categories</w:t>
      </w:r>
    </w:p>
    <w:p>
      <w:pPr>
        <w:pStyle w:val="ListBullet"/>
      </w:pPr>
      <w:r>
        <w:t>Harmful or misleading output</w:t>
      </w:r>
    </w:p>
    <w:p>
      <w:pPr>
        <w:pStyle w:val="ListBullet"/>
      </w:pPr>
      <w:r>
        <w:t>Privacy breach or unauthorized data exposure</w:t>
      </w:r>
    </w:p>
    <w:p>
      <w:pPr>
        <w:pStyle w:val="ListBullet"/>
      </w:pPr>
      <w:r>
        <w:t>Security exposure or embedded secret disclosure</w:t>
      </w:r>
    </w:p>
    <w:p>
      <w:pPr>
        <w:pStyle w:val="ListBullet"/>
      </w:pPr>
      <w:r>
        <w:t>Model or agent drift causing unsafe behavior</w:t>
      </w:r>
    </w:p>
    <w:p>
      <w:pPr>
        <w:pStyle w:val="ListBullet"/>
      </w:pPr>
      <w:r>
        <w:t>Unauthorized automation or unapproved integration</w:t>
      </w:r>
    </w:p>
    <w:p>
      <w:pPr>
        <w:pStyle w:val="ListBullet"/>
      </w:pPr>
      <w:r>
        <w:t>Third-party vendor or service failure</w:t>
      </w:r>
    </w:p>
    <w:p>
      <w:pPr>
        <w:pStyle w:val="H2Gov"/>
      </w:pPr>
      <w:r>
        <w:t>Workflow</w:t>
      </w:r>
    </w:p>
    <w:p>
      <w:pPr>
        <w:pStyle w:val="ListNumber"/>
      </w:pPr>
      <w:r>
        <w:t>Detect and triage</w:t>
      </w:r>
    </w:p>
    <w:p>
      <w:pPr>
        <w:pStyle w:val="ListNumber"/>
      </w:pPr>
      <w:r>
        <w:t>Assess severity and impacted systems</w:t>
      </w:r>
    </w:p>
    <w:p>
      <w:pPr>
        <w:pStyle w:val="ListNumber"/>
      </w:pPr>
      <w:r>
        <w:t>Contain or disable affected AI activity</w:t>
      </w:r>
    </w:p>
    <w:p>
      <w:pPr>
        <w:pStyle w:val="ListNumber"/>
      </w:pPr>
      <w:r>
        <w:t>Escalate to Security, Privacy, Legal, and Executive Sponsor as required</w:t>
      </w:r>
    </w:p>
    <w:p>
      <w:pPr>
        <w:pStyle w:val="ListNumber"/>
      </w:pPr>
      <w:r>
        <w:t>Remediate and restore safe operation</w:t>
      </w:r>
    </w:p>
    <w:p>
      <w:pPr>
        <w:pStyle w:val="ListNumber"/>
      </w:pPr>
      <w:r>
        <w:t>Review root cause, evidence, and control improvements</w:t>
      </w:r>
    </w:p>
    <w:p>
      <w:r>
        <w:t>Minimum evidence: incident summary, owner, timeline, impacted data/systems, containment action, recovery decision, lessons learned.</w:t>
      </w:r>
    </w:p>
    <w:p>
      <w:r>
        <w:br w:type="page"/>
      </w:r>
    </w:p>
    <w:p>
      <w:pPr>
        <w:pStyle w:val="H1Gov"/>
      </w:pPr>
      <w:r>
        <w:t>Governance Glossary</w:t>
      </w:r>
    </w:p>
    <w:p>
      <w:r>
        <w:rPr>
          <w:b/>
        </w:rPr>
        <w:t xml:space="preserve">AI system: </w:t>
      </w:r>
      <w:r>
        <w:t>Any model, tool, agent, workflow, or embedded capability used to generate, classify, retrieve, recommend, or automate decisions.</w:t>
      </w:r>
    </w:p>
    <w:p>
      <w:r>
        <w:rPr>
          <w:b/>
        </w:rPr>
        <w:t xml:space="preserve">Agent: </w:t>
      </w:r>
      <w:r>
        <w:t>An AI-enabled system that can invoke tools, call external systems, or take actions toward a task.</w:t>
      </w:r>
    </w:p>
    <w:p>
      <w:r>
        <w:rPr>
          <w:b/>
        </w:rPr>
        <w:t xml:space="preserve">High-impact use case: </w:t>
      </w:r>
      <w:r>
        <w:t>A use case whose output can materially affect people, finances, legal posture, privacy, or safety.</w:t>
      </w:r>
    </w:p>
    <w:p>
      <w:r>
        <w:rPr>
          <w:b/>
        </w:rPr>
        <w:t xml:space="preserve">Human oversight: </w:t>
      </w:r>
      <w:r>
        <w:t>A defined review or approval action by a responsible human before or after AI output is used.</w:t>
      </w:r>
    </w:p>
    <w:p>
      <w:r>
        <w:rPr>
          <w:b/>
        </w:rPr>
        <w:t xml:space="preserve">Model drift: </w:t>
      </w:r>
      <w:r>
        <w:t>A measurable change in behavior, performance, or output quality over time that can affect reliability or safety.</w:t>
      </w:r>
    </w:p>
    <w:p>
      <w:r>
        <w:rPr>
          <w:b/>
        </w:rPr>
        <w:t xml:space="preserve">Shadow AI: </w:t>
      </w:r>
      <w:r>
        <w:t>Use of AI tools or capabilities outside approved governance, visibility, or control.</w:t>
      </w:r>
    </w:p>
    <w:p>
      <w:r>
        <w:rPr>
          <w:b/>
        </w:rPr>
        <w:t xml:space="preserve">Knowledge base: </w:t>
      </w:r>
      <w:r>
        <w:t>A collection of internal or external documents and data sources used to ground or enrich AI outputs.</w:t>
      </w:r>
    </w:p>
    <w:p>
      <w:r>
        <w:rPr>
          <w:b/>
        </w:rPr>
        <w:t xml:space="preserve">Prohibited use: </w:t>
      </w:r>
      <w:r>
        <w:t>A use case that the organization forbids because the risk cannot be reduced to an acceptable level.</w:t>
      </w:r>
    </w:p>
    <w:p>
      <w:pPr>
        <w:pStyle w:val="H1Gov"/>
      </w:pPr>
      <w:r>
        <w:t>Standards Alignment Crosswalk</w:t>
      </w:r>
    </w:p>
    <w:p>
      <w:r>
        <w:t>Reference only - not a legal certification claim.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6A3DAA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Framework area</w:t>
            </w:r>
          </w:p>
        </w:tc>
        <w:tc>
          <w:tcPr>
            <w:tcW w:type="dxa" w:w="2045"/>
            <w:shd w:fill="6A3DAA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NIST AI RMF</w:t>
            </w:r>
          </w:p>
        </w:tc>
        <w:tc>
          <w:tcPr>
            <w:tcW w:type="dxa" w:w="2045"/>
            <w:shd w:fill="6A3DAA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ISO/IEC 42001</w:t>
            </w:r>
          </w:p>
        </w:tc>
        <w:tc>
          <w:tcPr>
            <w:tcW w:type="dxa" w:w="2045"/>
            <w:shd w:fill="6A3DAA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EU AI Act themes</w:t>
            </w:r>
          </w:p>
        </w:tc>
        <w:tc>
          <w:tcPr>
            <w:tcW w:type="dxa" w:w="2045"/>
            <w:shd w:fill="6A3DAA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SOC-style logic</w:t>
            </w:r>
          </w:p>
        </w:tc>
      </w:tr>
      <w:tr>
        <w:tc>
          <w:tcPr>
            <w:tcW w:type="dxa" w:w="2045"/>
          </w:tcPr>
          <w:p>
            <w:r>
              <w:t>Foundation &amp; Ownership</w:t>
            </w:r>
          </w:p>
        </w:tc>
        <w:tc>
          <w:tcPr>
            <w:tcW w:type="dxa" w:w="2045"/>
          </w:tcPr>
          <w:p>
            <w:r>
              <w:t>Govern</w:t>
            </w:r>
          </w:p>
        </w:tc>
        <w:tc>
          <w:tcPr>
            <w:tcW w:type="dxa" w:w="2045"/>
          </w:tcPr>
          <w:p>
            <w:r>
              <w:t>Leadership, policy</w:t>
            </w:r>
          </w:p>
        </w:tc>
        <w:tc>
          <w:tcPr>
            <w:tcW w:type="dxa" w:w="2045"/>
          </w:tcPr>
          <w:p>
            <w:r>
              <w:t>Governance, QMS</w:t>
            </w:r>
          </w:p>
        </w:tc>
        <w:tc>
          <w:tcPr>
            <w:tcW w:type="dxa" w:w="2045"/>
          </w:tcPr>
          <w:p>
            <w:r>
              <w:t>Control environment</w:t>
            </w:r>
          </w:p>
        </w:tc>
      </w:tr>
      <w:tr>
        <w:tc>
          <w:tcPr>
            <w:tcW w:type="dxa" w:w="2045"/>
          </w:tcPr>
          <w:p>
            <w:r>
              <w:t>Data &amp; Knowledge</w:t>
            </w:r>
          </w:p>
        </w:tc>
        <w:tc>
          <w:tcPr>
            <w:tcW w:type="dxa" w:w="2045"/>
          </w:tcPr>
          <w:p>
            <w:r>
              <w:t>Map / Manage</w:t>
            </w:r>
          </w:p>
        </w:tc>
        <w:tc>
          <w:tcPr>
            <w:tcW w:type="dxa" w:w="2045"/>
          </w:tcPr>
          <w:p>
            <w:r>
              <w:t>Data governance</w:t>
            </w:r>
          </w:p>
        </w:tc>
        <w:tc>
          <w:tcPr>
            <w:tcW w:type="dxa" w:w="2045"/>
          </w:tcPr>
          <w:p>
            <w:r>
              <w:t>Data governance</w:t>
            </w:r>
          </w:p>
        </w:tc>
        <w:tc>
          <w:tcPr>
            <w:tcW w:type="dxa" w:w="2045"/>
          </w:tcPr>
          <w:p>
            <w:r>
              <w:t>Confidentiality / Privacy</w:t>
            </w:r>
          </w:p>
        </w:tc>
      </w:tr>
      <w:tr>
        <w:tc>
          <w:tcPr>
            <w:tcW w:type="dxa" w:w="2045"/>
          </w:tcPr>
          <w:p>
            <w:r>
              <w:t>Model &amp; Tool Safety</w:t>
            </w:r>
          </w:p>
        </w:tc>
        <w:tc>
          <w:tcPr>
            <w:tcW w:type="dxa" w:w="2045"/>
          </w:tcPr>
          <w:p>
            <w:r>
              <w:t>Measure / Manage</w:t>
            </w:r>
          </w:p>
        </w:tc>
        <w:tc>
          <w:tcPr>
            <w:tcW w:type="dxa" w:w="2045"/>
          </w:tcPr>
          <w:p>
            <w:r>
              <w:t>Lifecycle controls</w:t>
            </w:r>
          </w:p>
        </w:tc>
        <w:tc>
          <w:tcPr>
            <w:tcW w:type="dxa" w:w="2045"/>
          </w:tcPr>
          <w:p>
            <w:r>
              <w:t>Accuracy, robustness, cybersecurity</w:t>
            </w:r>
          </w:p>
        </w:tc>
        <w:tc>
          <w:tcPr>
            <w:tcW w:type="dxa" w:w="2045"/>
          </w:tcPr>
          <w:p>
            <w:r>
              <w:t>Processing integrity / Security</w:t>
            </w:r>
          </w:p>
        </w:tc>
      </w:tr>
      <w:tr>
        <w:tc>
          <w:tcPr>
            <w:tcW w:type="dxa" w:w="2045"/>
          </w:tcPr>
          <w:p>
            <w:r>
              <w:t>Monitoring &amp; Response</w:t>
            </w:r>
          </w:p>
        </w:tc>
        <w:tc>
          <w:tcPr>
            <w:tcW w:type="dxa" w:w="2045"/>
          </w:tcPr>
          <w:p>
            <w:r>
              <w:t>Manage</w:t>
            </w:r>
          </w:p>
        </w:tc>
        <w:tc>
          <w:tcPr>
            <w:tcW w:type="dxa" w:w="2045"/>
          </w:tcPr>
          <w:p>
            <w:r>
              <w:t>Monitoring, improvement</w:t>
            </w:r>
          </w:p>
        </w:tc>
        <w:tc>
          <w:tcPr>
            <w:tcW w:type="dxa" w:w="2045"/>
          </w:tcPr>
          <w:p>
            <w:r>
              <w:t>Logging, oversight</w:t>
            </w:r>
          </w:p>
        </w:tc>
        <w:tc>
          <w:tcPr>
            <w:tcW w:type="dxa" w:w="2045"/>
          </w:tcPr>
          <w:p>
            <w:r>
              <w:t>Monitoring / Change management</w:t>
            </w:r>
          </w:p>
        </w:tc>
      </w:tr>
    </w:tbl>
    <w:p>
      <w:pPr>
        <w:pStyle w:val="H1Gov"/>
      </w:pPr>
      <w:r>
        <w:t>AI Governance Evidence Register</w:t>
      </w:r>
    </w:p>
    <w:p>
      <w:pPr>
        <w:pStyle w:val="ListBullet"/>
      </w:pPr>
      <w:r>
        <w:t>AI policy and approved tools list</w:t>
      </w:r>
    </w:p>
    <w:p>
      <w:pPr>
        <w:pStyle w:val="ListBullet"/>
      </w:pPr>
      <w:r>
        <w:t>Use-case intake records and risk assessments</w:t>
      </w:r>
    </w:p>
    <w:p>
      <w:pPr>
        <w:pStyle w:val="ListBullet"/>
      </w:pPr>
      <w:r>
        <w:t>AI system inventory</w:t>
      </w:r>
    </w:p>
    <w:p>
      <w:pPr>
        <w:pStyle w:val="ListBullet"/>
      </w:pPr>
      <w:r>
        <w:t>Vendor review records</w:t>
      </w:r>
    </w:p>
    <w:p>
      <w:pPr>
        <w:pStyle w:val="ListBullet"/>
      </w:pPr>
      <w:r>
        <w:t>Monitoring logs and exception records</w:t>
      </w:r>
    </w:p>
    <w:p>
      <w:pPr>
        <w:pStyle w:val="ListBullet"/>
      </w:pPr>
      <w:r>
        <w:t>Incident reports and quarterly review decks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Gov">
    <w:name w:val="TitleGov"/>
    <w:rPr>
      <w:rFonts w:ascii="Aptos" w:hAnsi="Aptos"/>
      <w:b/>
      <w:color w:val="0B2A5B"/>
      <w:sz w:val="48"/>
    </w:rPr>
  </w:style>
  <w:style w:type="paragraph" w:customStyle="1" w:styleId="SubtitleGov">
    <w:name w:val="SubtitleGov"/>
    <w:rPr>
      <w:rFonts w:ascii="Aptos" w:hAnsi="Aptos"/>
      <w:b w:val="0"/>
      <w:color w:val="5B6573"/>
      <w:sz w:val="26"/>
    </w:rPr>
  </w:style>
  <w:style w:type="paragraph" w:customStyle="1" w:styleId="H1Gov">
    <w:name w:val="H1Gov"/>
    <w:rPr>
      <w:rFonts w:ascii="Aptos" w:hAnsi="Aptos"/>
      <w:b/>
      <w:color w:val="0B2A5B"/>
      <w:sz w:val="36"/>
    </w:rPr>
  </w:style>
  <w:style w:type="paragraph" w:customStyle="1" w:styleId="H2Gov">
    <w:name w:val="H2Gov"/>
    <w:rPr>
      <w:rFonts w:ascii="Aptos" w:hAnsi="Aptos"/>
      <w:b/>
      <w:color w:val="0B2A5B"/>
      <w:sz w:val="26"/>
    </w:rPr>
  </w:style>
  <w:style w:type="paragraph" w:customStyle="1" w:styleId="SmallGov">
    <w:name w:val="SmallGov"/>
    <w:rPr>
      <w:rFonts w:ascii="Aptos" w:hAnsi="Aptos"/>
      <w:b w:val="0"/>
      <w:color w:val="5B657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