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Title"/>
        <w:jc w:val="left"/>
      </w:pPr>
      <w:r>
        <w:t>GovSecure</w:t>
      </w:r>
    </w:p>
    <w:p>
      <w:pPr>
        <w:pStyle w:val="GovTitle"/>
        <w:spacing w:after="200"/>
      </w:pPr>
      <w:r>
        <w:t>AI Data Handling and Privacy Policy</w:t>
      </w:r>
    </w:p>
    <w:p>
      <w:pPr>
        <w:pStyle w:val="GovSub"/>
      </w:pPr>
      <w:r>
        <w:t>Standalone Branded Policy Document</w:t>
      </w:r>
    </w:p>
    <w:p>
      <w:pPr>
        <w:spacing w:after="280"/>
      </w:pPr>
      <w:r>
        <w:rPr>
          <w:i/>
          <w:sz w:val="22"/>
        </w:rPr>
        <w:t>Practical governance beats vague good intentions.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Privacy Lead / Data Protection Lead</w:t>
            </w:r>
          </w:p>
        </w:tc>
      </w:tr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v1.0 | Paid SMB Edition</w:t>
            </w:r>
          </w:p>
        </w:tc>
      </w:tr>
    </w:tbl>
    <w:p/>
    <w:p>
      <w:pPr>
        <w:pStyle w:val="GovCallout"/>
      </w:pPr>
      <w:r>
        <w:t>Use this document as a client-ready policy baseline. Customize named roles, escalation paths, and references to internal standards, classifications, and regulatory obligations before approval.</w:t>
      </w:r>
    </w:p>
    <w:p>
      <w:r>
        <w:br w:type="page"/>
      </w:r>
    </w:p>
    <w:p>
      <w:pPr>
        <w:pStyle w:val="GovH1"/>
      </w:pPr>
      <w:r>
        <w:t>Policy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Defines what data may be used in AI systems, what data is restricted or prohibited, and how AI-related data must be classified, retained, deleted, transferred, and protected.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Applies to all AI systems that process company, customer, employee, or third-party data, including prompts, uploads, outputs, logs, and retrieval content.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Privacy Lead / Data Protection Lead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Employees using AI, data owners, system owners, Privacy, Security, Legal, and procurement teams</w:t>
            </w:r>
          </w:p>
        </w:tc>
      </w:tr>
    </w:tbl>
    <w:p/>
    <w:p>
      <w:pPr>
        <w:pStyle w:val="GovH1"/>
      </w:pPr>
      <w:r>
        <w:t>Policy Statements</w:t>
      </w:r>
    </w:p>
    <w:p>
      <w:pPr>
        <w:pStyle w:val="ListBullet"/>
      </w:pPr>
      <w:r>
        <w:t>Data entered into AI systems shall be classified and handled in accordance with enterprise data classification and privacy requirements.</w:t>
      </w:r>
    </w:p>
    <w:p>
      <w:pPr>
        <w:pStyle w:val="ListBullet"/>
      </w:pPr>
      <w:r>
        <w:t>Restricted, sensitive, personal, regulated, or customer-confidential data may only be processed in approved AI systems that are explicitly authorized for those data categories.</w:t>
      </w:r>
    </w:p>
    <w:p>
      <w:pPr>
        <w:pStyle w:val="ListBullet"/>
      </w:pPr>
      <w:r>
        <w:t>AI vendors and internal AI solutions shall disclose data retention, deletion, subprocessors, regional processing, human review access, and training use of submitted data.</w:t>
      </w:r>
    </w:p>
    <w:p>
      <w:pPr>
        <w:pStyle w:val="ListBullet"/>
      </w:pPr>
      <w:r>
        <w:t>The enterprise shall prohibit use of AI systems that reuse customer or employee data for model training without explicit authorization and documented approval.</w:t>
      </w:r>
    </w:p>
    <w:p>
      <w:pPr>
        <w:pStyle w:val="ListBullet"/>
      </w:pPr>
      <w:r>
        <w:t>Cross-border transfers, regional processing, and remote support access involving AI systems must follow enterprise privacy, contractual, and transfer requirements.</w:t>
      </w:r>
    </w:p>
    <w:p>
      <w:pPr>
        <w:pStyle w:val="ListBullet"/>
      </w:pPr>
      <w:r>
        <w:t>Prompts, uploads, outputs, and AI logs that contain personal or sensitive information shall be retained only as long as necessary for the approved purpose and then securely deleted or archived.</w:t>
      </w:r>
    </w:p>
    <w:p>
      <w:pPr>
        <w:pStyle w:val="ListBullet"/>
      </w:pPr>
      <w:r>
        <w:t>The enterprise shall support privacy impact review for AI use cases involving personal data, profiling, monitoring, or decisions affecting individuals.</w:t>
      </w:r>
    </w:p>
    <w:p/>
    <w:p>
      <w:pPr>
        <w:pStyle w:val="GovH1"/>
      </w:pPr>
      <w:r>
        <w:t>Roles and Responsibilities</w:t>
      </w:r>
    </w:p>
    <w:p>
      <w:pPr>
        <w:pStyle w:val="ListBullet"/>
      </w:pPr>
      <w:r>
        <w:t>Privacy Lead defines privacy requirements, review triggers, and data protection expectations for AI use.</w:t>
      </w:r>
    </w:p>
    <w:p>
      <w:pPr>
        <w:pStyle w:val="ListBullet"/>
      </w:pPr>
      <w:r>
        <w:t>Data owners classify information and approve use of data categories in AI systems.</w:t>
      </w:r>
    </w:p>
    <w:p>
      <w:pPr>
        <w:pStyle w:val="ListBullet"/>
      </w:pPr>
      <w:r>
        <w:t>System owners ensure approved retention, deletion, transfer, and regional controls are implemented.</w:t>
      </w:r>
    </w:p>
    <w:p>
      <w:pPr>
        <w:pStyle w:val="ListBullet"/>
      </w:pPr>
      <w:r>
        <w:t>Security and Procurement validate vendor commitments for data handling, subprocessors, and access.</w:t>
      </w:r>
    </w:p>
    <w:p/>
    <w:p>
      <w:pPr>
        <w:pStyle w:val="GovH1"/>
      </w:pPr>
      <w:r>
        <w:t>Required Records and Evidence</w:t>
      </w:r>
    </w:p>
    <w:p>
      <w:pPr>
        <w:pStyle w:val="ListBullet"/>
      </w:pPr>
      <w:r>
        <w:t>Privacy impact assessments</w:t>
      </w:r>
    </w:p>
    <w:p>
      <w:pPr>
        <w:pStyle w:val="ListBullet"/>
      </w:pPr>
      <w:r>
        <w:t>Data retention schedule</w:t>
      </w:r>
    </w:p>
    <w:p>
      <w:pPr>
        <w:pStyle w:val="ListBullet"/>
      </w:pPr>
      <w:r>
        <w:t>Cross-border transfer review records</w:t>
      </w:r>
    </w:p>
    <w:p>
      <w:pPr>
        <w:pStyle w:val="ListBullet"/>
      </w:pPr>
      <w:r>
        <w:t>Vendor privacy commitments</w:t>
      </w:r>
    </w:p>
    <w:p>
      <w:pPr>
        <w:pStyle w:val="ListBullet"/>
      </w:pPr>
      <w:r>
        <w:t>Sensitive data exception approvals</w:t>
      </w:r>
    </w:p>
    <w:p/>
    <w:p>
      <w:pPr>
        <w:pStyle w:val="GovH1"/>
      </w:pPr>
      <w:r>
        <w:t>Required Companion Templates</w:t>
      </w:r>
    </w:p>
    <w:p>
      <w:pPr>
        <w:pStyle w:val="ListBullet"/>
      </w:pPr>
      <w:r>
        <w:t>AI Data Classification Guide</w:t>
      </w:r>
    </w:p>
    <w:p>
      <w:pPr>
        <w:pStyle w:val="ListBullet"/>
      </w:pPr>
      <w:r>
        <w:t>Sensitive Data Submission Restriction Notice</w:t>
      </w:r>
    </w:p>
    <w:p>
      <w:pPr>
        <w:pStyle w:val="ListBullet"/>
      </w:pPr>
      <w:r>
        <w:t>AI Privacy Impact Assessment Form</w:t>
      </w:r>
    </w:p>
    <w:p>
      <w:pPr>
        <w:pStyle w:val="ListBullet"/>
      </w:pPr>
      <w:r>
        <w:t>AI Data Retention and Deletion Schedule</w:t>
      </w:r>
    </w:p>
    <w:p>
      <w:pPr>
        <w:pStyle w:val="ListBullet"/>
      </w:pPr>
      <w:r>
        <w:t>Cross-Border AI Data Transfer Review Form</w:t>
      </w:r>
    </w:p>
    <w:p>
      <w:pPr>
        <w:pStyle w:val="ListBullet"/>
      </w:pPr>
      <w:r>
        <w:t>Implementation note: This policy should be approved by the client’s designated owner, linked to operating procedures, and reviewed at least annually or after a material AI-related change.</w:t>
      </w:r>
    </w:p>
    <w:p/>
    <w:p>
      <w:pPr>
        <w:pStyle w:val="GovH1"/>
      </w:pPr>
      <w:r>
        <w:t>Implementation Note</w:t>
      </w:r>
    </w:p>
    <w:p>
      <w:r>
        <w:t>This policy should be approved by the client’s designated owner, linked to operating procedures, and reviewed at least annually or after a material AI-related change.</w:t>
      </w:r>
    </w:p>
    <w:p>
      <w:r>
        <w:br w:type="page"/>
      </w:r>
    </w:p>
    <w:p>
      <w:pPr>
        <w:pStyle w:val="Title"/>
        <w:jc w:val="left"/>
      </w:pPr>
      <w:r>
        <w:rPr>
          <w:b/>
          <w:sz w:val="44"/>
        </w:rPr>
        <w:t>GovSecure Licensing and Usage</w:t>
      </w:r>
    </w:p>
    <w:p>
      <w:pPr>
        <w:pStyle w:val="Heading1"/>
      </w:pPr>
      <w:r>
        <w:rPr>
          <w:b/>
          <w:sz w:val="26"/>
        </w:rPr>
        <w:t>License Scope</w:t>
      </w:r>
    </w:p>
    <w:p>
      <w:pPr/>
      <w:r>
        <w:t>This GovSecure policy template is licensed for use by a single purchasing organization for its internal governance, risk, compliance, privacy, security, and operational activities.</w:t>
      </w:r>
    </w:p>
    <w:p>
      <w:pPr>
        <w:pStyle w:val="Heading1"/>
      </w:pPr>
      <w:r>
        <w:rPr>
          <w:b/>
          <w:sz w:val="26"/>
        </w:rPr>
        <w:t>Permitted Use</w:t>
      </w:r>
    </w:p>
    <w:p>
      <w:pPr/>
      <w:r>
        <w:t>The purchaser may edit, tailor, and deploy this document for internal business use, including policy adoption, training, audit preparation, and enterprise AI governance program development.</w:t>
      </w:r>
    </w:p>
    <w:p>
      <w:pPr>
        <w:pStyle w:val="Heading1"/>
      </w:pPr>
      <w:r>
        <w:rPr>
          <w:b/>
          <w:sz w:val="26"/>
        </w:rPr>
        <w:t>Restricted Use</w:t>
      </w:r>
    </w:p>
    <w:p>
      <w:pPr/>
      <w:r>
        <w:t>The purchaser may not resell, sublicense, redistribute, publish, bundle, or offer this document, whether modified or unmodified, as a standalone product, template pack, or commercial deliverable to third parties without written permission from GovSecure.</w:t>
      </w:r>
    </w:p>
    <w:p>
      <w:pPr>
        <w:pStyle w:val="Heading1"/>
      </w:pPr>
      <w:r>
        <w:rPr>
          <w:b/>
          <w:sz w:val="26"/>
        </w:rPr>
        <w:t>Customization Responsibility</w:t>
      </w:r>
    </w:p>
    <w:p>
      <w:pPr/>
      <w:r>
        <w:t>This template is intended as a practical governance baseline. The purchaser is responsible for reviewing and customizing roles, approval paths, legal references, technical controls, records requirements, and jurisdiction-specific obligations before adoption.</w:t>
      </w:r>
    </w:p>
    <w:p>
      <w:pPr>
        <w:pStyle w:val="Heading1"/>
      </w:pPr>
      <w:r>
        <w:rPr>
          <w:b/>
          <w:sz w:val="26"/>
        </w:rPr>
        <w:t>No Legal Advice</w:t>
      </w:r>
    </w:p>
    <w:p>
      <w:pPr/>
      <w:r>
        <w:t>This document is not legal advice and does not create an attorney-client relationship. Organizations should obtain legal, privacy, regulatory, or sector-specific review where required.</w:t>
      </w:r>
    </w:p>
    <w:p>
      <w:pPr>
        <w:pStyle w:val="Heading1"/>
      </w:pPr>
      <w:r>
        <w:rPr>
          <w:b/>
          <w:sz w:val="26"/>
        </w:rPr>
        <w:t>Warranty and Liability</w:t>
      </w:r>
    </w:p>
    <w:p>
      <w:pPr/>
      <w:r>
        <w:t>This material is provided as-is for professional use. GovSecure makes no guarantee that this document alone will satisfy every legal, regulatory, contractual, or audit requirement in every jurisdiction or use case.</w:t>
      </w:r>
    </w:p>
    <w:p>
      <w:pPr>
        <w:pStyle w:val="Heading1"/>
      </w:pPr>
      <w:r>
        <w:rPr>
          <w:b/>
          <w:sz w:val="26"/>
        </w:rPr>
        <w:t>Copyright</w:t>
      </w:r>
    </w:p>
    <w:p>
      <w:pPr/>
      <w:r>
        <w:t>Copyright GovSecure. All rights reserved. Use is subject to the applicable purchase terms, license terms, statement of work, or written authorization issued by GovSecure.</w:t>
      </w:r>
    </w:p>
    <w:p>
      <w:pPr>
        <w:pStyle w:val="Heading1"/>
      </w:pPr>
      <w:r>
        <w:rPr>
          <w:b/>
          <w:sz w:val="26"/>
        </w:rPr>
        <w:t>Contact</w:t>
      </w:r>
    </w:p>
    <w:p>
      <w:pPr/>
      <w:r>
        <w:t>For enterprise licensing, customization, or commercial reuse inquiries, contact GovSecure through its authorized business channel.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GovSecure.ai  |  AI Governance. Secured. Delivered.  |  Standalone Policy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Title">
    <w:name w:val="GovTitle"/>
    <w:pPr>
      <w:spacing w:after="0"/>
    </w:pPr>
    <w:rPr>
      <w:rFonts w:ascii="Aptos" w:hAnsi="Aptos"/>
      <w:b/>
      <w:color w:val="173F7A"/>
      <w:sz w:val="52"/>
    </w:rPr>
  </w:style>
  <w:style w:type="paragraph" w:customStyle="1" w:styleId="GovSub">
    <w:name w:val="GovSub"/>
    <w:rPr>
      <w:rFonts w:ascii="Aptos" w:hAnsi="Aptos"/>
      <w:b w:val="0"/>
      <w:color w:val="4F6B8F"/>
      <w:sz w:val="26"/>
    </w:rPr>
  </w:style>
  <w:style w:type="paragraph" w:customStyle="1" w:styleId="GovH1">
    <w:name w:val="GovH1"/>
    <w:pPr>
      <w:spacing w:before="160" w:after="120"/>
    </w:pPr>
    <w:rPr>
      <w:rFonts w:ascii="Aptos" w:hAnsi="Aptos"/>
      <w:b/>
      <w:color w:val="173F7A"/>
      <w:sz w:val="36"/>
    </w:rPr>
  </w:style>
  <w:style w:type="paragraph" w:customStyle="1" w:styleId="GovH2">
    <w:name w:val="GovH2"/>
    <w:pPr>
      <w:spacing w:before="120" w:after="80"/>
    </w:pPr>
    <w:rPr>
      <w:rFonts w:ascii="Aptos" w:hAnsi="Aptos"/>
      <w:b/>
      <w:color w:val="1F4E79"/>
      <w:sz w:val="26"/>
    </w:rPr>
  </w:style>
  <w:style w:type="paragraph" w:customStyle="1" w:styleId="GovCallout">
    <w:name w:val="GovCallout"/>
    <w:rPr>
      <w:rFonts w:ascii="Aptos" w:hAnsi="Aptos"/>
      <w:b w:val="0"/>
      <w:color w:val="4A4A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