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ovTitle"/>
        <w:jc w:val="left"/>
      </w:pPr>
      <w:r>
        <w:t>GovSecure</w:t>
      </w:r>
    </w:p>
    <w:p>
      <w:pPr>
        <w:pStyle w:val="GovTitle"/>
        <w:spacing w:after="200"/>
      </w:pPr>
      <w:r>
        <w:t>AI Governance Policy</w:t>
      </w:r>
    </w:p>
    <w:p>
      <w:pPr>
        <w:pStyle w:val="GovSub"/>
      </w:pPr>
      <w:r>
        <w:t>Standalone Branded Policy Document</w:t>
      </w:r>
    </w:p>
    <w:p>
      <w:pPr>
        <w:spacing w:after="280"/>
      </w:pPr>
      <w:r>
        <w:rPr>
          <w:i/>
          <w:sz w:val="22"/>
        </w:rPr>
        <w:t>Practical governance beats vague good intentions.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Primary owner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Executive Sponsor / AI Governance Lead</w:t>
            </w:r>
          </w:p>
        </w:tc>
      </w:tr>
      <w:tr>
        <w:tc>
          <w:tcPr>
            <w:tcW w:type="dxa" w:w="2448"/>
            <w:shd w:fill="173F7A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056"/>
            <w:shd w:fill="EAF1FB"/>
            <w:tcBorders>
              <w:left w:val="single" w:sz="8" w:color="D7E3F3"/>
              <w:top w:val="single" w:sz="8" w:color="D7E3F3"/>
              <w:right w:val="single" w:sz="8" w:color="D7E3F3"/>
              <w:bottom w:val="single" w:sz="8" w:color="D7E3F3"/>
            </w:tcBorders>
            <w:vAlign w:val="center"/>
          </w:tcPr>
          <w:p>
            <w:r>
              <w:rPr>
                <w:sz w:val="20"/>
              </w:rPr>
              <w:t>v1.0 | Paid SMB Edition</w:t>
            </w:r>
          </w:p>
        </w:tc>
      </w:tr>
    </w:tbl>
    <w:p/>
    <w:p>
      <w:pPr>
        <w:pStyle w:val="GovCallout"/>
      </w:pPr>
      <w:r>
        <w:t>Use this document as a client-ready policy baseline. Customize named roles, escalation paths, and references to internal standards, classifications, and regulatory obligations before approval.</w:t>
      </w:r>
    </w:p>
    <w:p>
      <w:r>
        <w:br w:type="page"/>
      </w:r>
    </w:p>
    <w:p>
      <w:pPr>
        <w:pStyle w:val="GovH1"/>
      </w:pPr>
      <w:r>
        <w:t>Policy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Defines the governance structure for AI across the enterprise, including ownership, oversight, approval authority, escalation, risk accountability, and review responsibilities.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Applies to all enterprise AI systems, AI use cases, embedded AI capabilities, significant model/provider changes, and related governance forums and records.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Primary owner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Executive Sponsor / AI Governance Lead</w:t>
            </w:r>
          </w:p>
        </w:tc>
      </w:tr>
      <w:tr>
        <w:tc>
          <w:tcPr>
            <w:tcW w:type="dxa" w:w="4968"/>
            <w:shd w:fill="EEF4FB"/>
          </w:tcPr>
          <w:p>
            <w:r>
              <w:rPr>
                <w:b/>
                <w:sz w:val="20"/>
              </w:rPr>
              <w:t>Audience</w:t>
            </w:r>
          </w:p>
        </w:tc>
        <w:tc>
          <w:tcPr>
            <w:tcW w:type="dxa" w:w="4968"/>
          </w:tcPr>
          <w:p>
            <w:r>
              <w:rPr>
                <w:sz w:val="20"/>
              </w:rPr>
              <w:t>Executive leadership, business owners, Security, Privacy, Legal, IT, Procurement, Risk, and Compliance teams</w:t>
            </w:r>
          </w:p>
        </w:tc>
      </w:tr>
    </w:tbl>
    <w:p/>
    <w:p>
      <w:pPr>
        <w:pStyle w:val="GovH1"/>
      </w:pPr>
      <w:r>
        <w:t>Policy Statements</w:t>
      </w:r>
    </w:p>
    <w:p>
      <w:pPr>
        <w:pStyle w:val="ListBullet"/>
      </w:pPr>
      <w:r>
        <w:t>The enterprise shall maintain a formal AI governance structure with defined ownership, decision rights, escalation paths, and oversight responsibilities.</w:t>
      </w:r>
    </w:p>
    <w:p>
      <w:pPr>
        <w:pStyle w:val="ListBullet"/>
      </w:pPr>
      <w:r>
        <w:t>Every AI system and AI use case shall have an accountable business owner and an identified technical or platform owner.</w:t>
      </w:r>
    </w:p>
    <w:p>
      <w:pPr>
        <w:pStyle w:val="ListBullet"/>
      </w:pPr>
      <w:r>
        <w:t>New AI use cases, major changes, and exceptions shall be reviewed through the enterprise AI intake and risk assessment process before approval.</w:t>
      </w:r>
    </w:p>
    <w:p>
      <w:pPr>
        <w:pStyle w:val="ListBullet"/>
      </w:pPr>
      <w:r>
        <w:t>The AI Governance Lead shall maintain the AI system inventory, governance standards, review cadence, and reporting to leadership.</w:t>
      </w:r>
    </w:p>
    <w:p>
      <w:pPr>
        <w:pStyle w:val="ListBullet"/>
      </w:pPr>
      <w:r>
        <w:t>High-risk or sensitive AI use cases shall receive enhanced review involving Security, Privacy, Legal, and relevant business stakeholders before deployment.</w:t>
      </w:r>
    </w:p>
    <w:p>
      <w:pPr>
        <w:pStyle w:val="ListBullet"/>
      </w:pPr>
      <w:r>
        <w:t>The enterprise shall review AI risks, control gaps, incidents, and exceptions on a periodic basis and track remediation to closure.</w:t>
      </w:r>
    </w:p>
    <w:p>
      <w:pPr>
        <w:pStyle w:val="ListBullet"/>
      </w:pPr>
      <w:r>
        <w:t>No AI initiative may bypass required governance merely because the capability is bundled into an existing SaaS product or business workflow.</w:t>
      </w:r>
    </w:p>
    <w:p/>
    <w:p>
      <w:pPr>
        <w:pStyle w:val="GovH1"/>
      </w:pPr>
      <w:r>
        <w:t>Roles and Responsibilities</w:t>
      </w:r>
    </w:p>
    <w:p>
      <w:pPr>
        <w:pStyle w:val="ListBullet"/>
      </w:pPr>
      <w:r>
        <w:t>Executive Sponsor provides direction, resolves escalations, and approves material risk decisions.</w:t>
      </w:r>
    </w:p>
    <w:p>
      <w:pPr>
        <w:pStyle w:val="ListBullet"/>
      </w:pPr>
      <w:r>
        <w:t>AI Governance Lead runs the intake process, inventory, review cadence, and governance reporting.</w:t>
      </w:r>
    </w:p>
    <w:p>
      <w:pPr>
        <w:pStyle w:val="ListBullet"/>
      </w:pPr>
      <w:r>
        <w:t>Business owners are accountable for approved use cases, outcomes, and operational controls.</w:t>
      </w:r>
    </w:p>
    <w:p>
      <w:pPr>
        <w:pStyle w:val="ListBullet"/>
      </w:pPr>
      <w:r>
        <w:t>Security, Privacy, Legal, IT, and Procurement support reviews based on risk tier and change impact.</w:t>
      </w:r>
    </w:p>
    <w:p/>
    <w:p>
      <w:pPr>
        <w:pStyle w:val="GovH1"/>
      </w:pPr>
      <w:r>
        <w:t>Required Records and Evidence</w:t>
      </w:r>
    </w:p>
    <w:p>
      <w:pPr>
        <w:pStyle w:val="ListBullet"/>
      </w:pPr>
      <w:r>
        <w:t>AI governance charter</w:t>
      </w:r>
    </w:p>
    <w:p>
      <w:pPr>
        <w:pStyle w:val="ListBullet"/>
      </w:pPr>
      <w:r>
        <w:t>RACI matrix</w:t>
      </w:r>
    </w:p>
    <w:p>
      <w:pPr>
        <w:pStyle w:val="ListBullet"/>
      </w:pPr>
      <w:r>
        <w:t>AI intake and approval records</w:t>
      </w:r>
    </w:p>
    <w:p>
      <w:pPr>
        <w:pStyle w:val="ListBullet"/>
      </w:pPr>
      <w:r>
        <w:t>Quarterly governance review deck</w:t>
      </w:r>
    </w:p>
    <w:p>
      <w:pPr>
        <w:pStyle w:val="ListBullet"/>
      </w:pPr>
      <w:r>
        <w:t>Open risk and exception tracker</w:t>
      </w:r>
    </w:p>
    <w:p/>
    <w:p>
      <w:pPr>
        <w:pStyle w:val="GovH1"/>
      </w:pPr>
      <w:r>
        <w:t>Required Companion Templates</w:t>
      </w:r>
    </w:p>
    <w:p>
      <w:pPr>
        <w:pStyle w:val="ListBullet"/>
      </w:pPr>
      <w:r>
        <w:t>AI Governance Charter</w:t>
      </w:r>
    </w:p>
    <w:p>
      <w:pPr>
        <w:pStyle w:val="ListBullet"/>
      </w:pPr>
      <w:r>
        <w:t>AI Governance RACI Matrix</w:t>
      </w:r>
    </w:p>
    <w:p>
      <w:pPr>
        <w:pStyle w:val="ListBullet"/>
      </w:pPr>
      <w:r>
        <w:t>AI Steering Committee Terms of Reference</w:t>
      </w:r>
    </w:p>
    <w:p>
      <w:pPr>
        <w:pStyle w:val="ListBullet"/>
      </w:pPr>
      <w:r>
        <w:t>AI Escalation Path Matrix</w:t>
      </w:r>
    </w:p>
    <w:p>
      <w:pPr>
        <w:pStyle w:val="ListBullet"/>
      </w:pPr>
      <w:r>
        <w:t>Quarterly AI Governance Review Deck</w:t>
      </w:r>
    </w:p>
    <w:p>
      <w:pPr>
        <w:pStyle w:val="ListBullet"/>
      </w:pPr>
      <w:r>
        <w:t>Implementation note: This policy should be approved by the client’s designated owner, linked to operating procedures, and reviewed at least annually or after a material AI-related change.</w:t>
      </w:r>
    </w:p>
    <w:p/>
    <w:p>
      <w:pPr>
        <w:pStyle w:val="GovH1"/>
      </w:pPr>
      <w:r>
        <w:t>Implementation Note</w:t>
      </w:r>
    </w:p>
    <w:p>
      <w:r>
        <w:t>This policy should be approved by the client’s designated owner, linked to operating procedures, and reviewed at least annually or after a material AI-related change.</w:t>
      </w:r>
    </w:p>
    <w:p>
      <w:r>
        <w:br w:type="page"/>
      </w:r>
    </w:p>
    <w:p>
      <w:pPr>
        <w:pStyle w:val="Title"/>
        <w:jc w:val="left"/>
      </w:pPr>
      <w:r>
        <w:rPr>
          <w:b/>
          <w:sz w:val="44"/>
        </w:rPr>
        <w:t>GovSecure Licensing and Usage</w:t>
      </w:r>
    </w:p>
    <w:p>
      <w:pPr>
        <w:pStyle w:val="Heading1"/>
      </w:pPr>
      <w:r>
        <w:rPr>
          <w:b/>
          <w:sz w:val="26"/>
        </w:rPr>
        <w:t>License Scope</w:t>
      </w:r>
    </w:p>
    <w:p>
      <w:pPr/>
      <w:r>
        <w:t>This GovSecure policy template is licensed for use by a single purchasing organization for its internal governance, risk, compliance, privacy, security, and operational activities.</w:t>
      </w:r>
    </w:p>
    <w:p>
      <w:pPr>
        <w:pStyle w:val="Heading1"/>
      </w:pPr>
      <w:r>
        <w:rPr>
          <w:b/>
          <w:sz w:val="26"/>
        </w:rPr>
        <w:t>Permitted Use</w:t>
      </w:r>
    </w:p>
    <w:p>
      <w:pPr/>
      <w:r>
        <w:t>The purchaser may edit, tailor, and deploy this document for internal business use, including policy adoption, training, audit preparation, and enterprise AI governance program development.</w:t>
      </w:r>
    </w:p>
    <w:p>
      <w:pPr>
        <w:pStyle w:val="Heading1"/>
      </w:pPr>
      <w:r>
        <w:rPr>
          <w:b/>
          <w:sz w:val="26"/>
        </w:rPr>
        <w:t>Restricted Use</w:t>
      </w:r>
    </w:p>
    <w:p>
      <w:pPr/>
      <w:r>
        <w:t>The purchaser may not resell, sublicense, redistribute, publish, bundle, or offer this document, whether modified or unmodified, as a standalone product, template pack, or commercial deliverable to third parties without written permission from GovSecure.</w:t>
      </w:r>
    </w:p>
    <w:p>
      <w:pPr>
        <w:pStyle w:val="Heading1"/>
      </w:pPr>
      <w:r>
        <w:rPr>
          <w:b/>
          <w:sz w:val="26"/>
        </w:rPr>
        <w:t>Customization Responsibility</w:t>
      </w:r>
    </w:p>
    <w:p>
      <w:pPr/>
      <w:r>
        <w:t>This template is intended as a practical governance baseline. The purchaser is responsible for reviewing and customizing roles, approval paths, legal references, technical controls, records requirements, and jurisdiction-specific obligations before adoption.</w:t>
      </w:r>
    </w:p>
    <w:p>
      <w:pPr>
        <w:pStyle w:val="Heading1"/>
      </w:pPr>
      <w:r>
        <w:rPr>
          <w:b/>
          <w:sz w:val="26"/>
        </w:rPr>
        <w:t>No Legal Advice</w:t>
      </w:r>
    </w:p>
    <w:p>
      <w:pPr/>
      <w:r>
        <w:t>This document is not legal advice and does not create an attorney-client relationship. Organizations should obtain legal, privacy, regulatory, or sector-specific review where required.</w:t>
      </w:r>
    </w:p>
    <w:p>
      <w:pPr>
        <w:pStyle w:val="Heading1"/>
      </w:pPr>
      <w:r>
        <w:rPr>
          <w:b/>
          <w:sz w:val="26"/>
        </w:rPr>
        <w:t>Warranty and Liability</w:t>
      </w:r>
    </w:p>
    <w:p>
      <w:pPr/>
      <w:r>
        <w:t>This material is provided as-is for professional use. GovSecure makes no guarantee that this document alone will satisfy every legal, regulatory, contractual, or audit requirement in every jurisdiction or use case.</w:t>
      </w:r>
    </w:p>
    <w:p>
      <w:pPr>
        <w:pStyle w:val="Heading1"/>
      </w:pPr>
      <w:r>
        <w:rPr>
          <w:b/>
          <w:sz w:val="26"/>
        </w:rPr>
        <w:t>Copyright</w:t>
      </w:r>
    </w:p>
    <w:p>
      <w:pPr/>
      <w:r>
        <w:t>Copyright GovSecure. All rights reserved. Use is subject to the applicable purchase terms, license terms, statement of work, or written authorization issued by GovSecure.</w:t>
      </w:r>
    </w:p>
    <w:p>
      <w:pPr>
        <w:pStyle w:val="Heading1"/>
      </w:pPr>
      <w:r>
        <w:rPr>
          <w:b/>
          <w:sz w:val="26"/>
        </w:rPr>
        <w:t>Contact</w:t>
      </w:r>
    </w:p>
    <w:p>
      <w:pPr/>
      <w:r>
        <w:t>For enterprise licensing, customization, or commercial reuse inquiries, contact GovSecure through its authorized business channel.</w:t>
      </w:r>
    </w:p>
    <w:sectPr w:rsidR="00FC693F" w:rsidRPr="0006063C" w:rsidSect="00034616">
      <w:footerReference w:type="default" r:id="rId9"/>
      <w:pgSz w:w="12240" w:h="15840"/>
      <w:pgMar w:top="1152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8"/>
      </w:rPr>
      <w:t>GovSecure.ai  |  AI Governance. Secured. Delivered.  |  Standalone Policy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vTitle">
    <w:name w:val="GovTitle"/>
    <w:pPr>
      <w:spacing w:after="0"/>
    </w:pPr>
    <w:rPr>
      <w:rFonts w:ascii="Aptos" w:hAnsi="Aptos"/>
      <w:b/>
      <w:color w:val="173F7A"/>
      <w:sz w:val="52"/>
    </w:rPr>
  </w:style>
  <w:style w:type="paragraph" w:customStyle="1" w:styleId="GovSub">
    <w:name w:val="GovSub"/>
    <w:rPr>
      <w:rFonts w:ascii="Aptos" w:hAnsi="Aptos"/>
      <w:b w:val="0"/>
      <w:color w:val="4F6B8F"/>
      <w:sz w:val="26"/>
    </w:rPr>
  </w:style>
  <w:style w:type="paragraph" w:customStyle="1" w:styleId="GovH1">
    <w:name w:val="GovH1"/>
    <w:pPr>
      <w:spacing w:before="160" w:after="120"/>
    </w:pPr>
    <w:rPr>
      <w:rFonts w:ascii="Aptos" w:hAnsi="Aptos"/>
      <w:b/>
      <w:color w:val="173F7A"/>
      <w:sz w:val="36"/>
    </w:rPr>
  </w:style>
  <w:style w:type="paragraph" w:customStyle="1" w:styleId="GovH2">
    <w:name w:val="GovH2"/>
    <w:pPr>
      <w:spacing w:before="120" w:after="80"/>
    </w:pPr>
    <w:rPr>
      <w:rFonts w:ascii="Aptos" w:hAnsi="Aptos"/>
      <w:b/>
      <w:color w:val="1F4E79"/>
      <w:sz w:val="26"/>
    </w:rPr>
  </w:style>
  <w:style w:type="paragraph" w:customStyle="1" w:styleId="GovCallout">
    <w:name w:val="GovCallout"/>
    <w:rPr>
      <w:rFonts w:ascii="Aptos" w:hAnsi="Aptos"/>
      <w:b w:val="0"/>
      <w:color w:val="4A4A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