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Title"/>
        <w:jc w:val="left"/>
      </w:pPr>
      <w:r>
        <w:t>GovSecure</w:t>
      </w:r>
    </w:p>
    <w:p>
      <w:pPr>
        <w:pStyle w:val="GovTitle"/>
        <w:spacing w:after="200"/>
      </w:pPr>
      <w:r>
        <w:t>AI Incident Response and Monitoring Policy</w:t>
      </w:r>
    </w:p>
    <w:p>
      <w:pPr>
        <w:pStyle w:val="GovSub"/>
      </w:pPr>
      <w:r>
        <w:t>Standalone Branded Policy Document</w:t>
      </w:r>
    </w:p>
    <w:p>
      <w:pPr>
        <w:spacing w:after="280"/>
      </w:pPr>
      <w:r>
        <w:rPr>
          <w:i/>
          <w:sz w:val="22"/>
        </w:rPr>
        <w:t>Practical governance beats vague good intentions.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Information Security Lead</w:t>
            </w:r>
          </w:p>
        </w:tc>
      </w:tr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v1.0 | Paid SMB Edition</w:t>
            </w:r>
          </w:p>
        </w:tc>
      </w:tr>
    </w:tbl>
    <w:p/>
    <w:p>
      <w:pPr>
        <w:pStyle w:val="GovCallout"/>
      </w:pPr>
      <w:r>
        <w:t>Use this document as a client-ready policy baseline. Customize named roles, escalation paths, and references to internal standards, classifications, and regulatory obligations before approval.</w:t>
      </w:r>
    </w:p>
    <w:p>
      <w:r>
        <w:br w:type="page"/>
      </w:r>
    </w:p>
    <w:p>
      <w:pPr>
        <w:pStyle w:val="GovH1"/>
      </w:pPr>
      <w:r>
        <w:t>Policy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Defines what qualifies as an AI incident and how the organization detects, escalates, investigates, contains, remediates, and learns from AI-related failures or harms.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Applies to monitoring, triage, escalation, containment, investigation, remediation, and post-incident review for AI-related events and control failures.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Information Security Lead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Security operations, Privacy, Legal, IT, risk teams, executives, incident responders, and system owners</w:t>
            </w:r>
          </w:p>
        </w:tc>
      </w:tr>
    </w:tbl>
    <w:p/>
    <w:p>
      <w:pPr>
        <w:pStyle w:val="GovH1"/>
      </w:pPr>
      <w:r>
        <w:t>Policy Statements</w:t>
      </w:r>
    </w:p>
    <w:p>
      <w:pPr>
        <w:pStyle w:val="ListBullet"/>
      </w:pPr>
      <w:r>
        <w:t>The enterprise shall monitor approved AI systems for misuse, access anomalies, material failures, drift, harmful outputs, data leakage, and other indicators of elevated risk as feasible for the system type.</w:t>
      </w:r>
    </w:p>
    <w:p>
      <w:pPr>
        <w:pStyle w:val="ListBullet"/>
      </w:pPr>
      <w:r>
        <w:t>AI incidents shall be triaged using the enterprise incident management process with AI-specific classifications for privacy harm, security exposure, model failure, unsafe automation, vendor failure, and harmful content.</w:t>
      </w:r>
    </w:p>
    <w:p>
      <w:pPr>
        <w:pStyle w:val="ListBullet"/>
      </w:pPr>
      <w:r>
        <w:t>Material AI incidents shall be escalated promptly to Security, Privacy, Legal, business owners, and leadership based on severity and impact.</w:t>
      </w:r>
    </w:p>
    <w:p>
      <w:pPr>
        <w:pStyle w:val="ListBullet"/>
      </w:pPr>
      <w:r>
        <w:t>The enterprise shall document containment, remediation, root cause, customer or stakeholder impact, and corrective actions for material AI incidents.</w:t>
      </w:r>
    </w:p>
    <w:p>
      <w:pPr>
        <w:pStyle w:val="ListBullet"/>
      </w:pPr>
      <w:r>
        <w:t>Monitoring, incident trends, unresolved issues, and required improvements shall be reviewed periodically as part of governance reporting.</w:t>
      </w:r>
    </w:p>
    <w:p>
      <w:pPr>
        <w:pStyle w:val="ListBullet"/>
      </w:pPr>
      <w:r>
        <w:t>Vendor-caused incidents and external service changes that materially affect risk posture shall trigger review and, where necessary, suspension of the affected use case or provider.</w:t>
      </w:r>
    </w:p>
    <w:p/>
    <w:p>
      <w:pPr>
        <w:pStyle w:val="GovH1"/>
      </w:pPr>
      <w:r>
        <w:t>Roles and Responsibilities</w:t>
      </w:r>
    </w:p>
    <w:p>
      <w:pPr>
        <w:pStyle w:val="ListBullet"/>
      </w:pPr>
      <w:r>
        <w:t>Information Security leads AI incident triage, containment, investigation, and corrective action tracking.</w:t>
      </w:r>
    </w:p>
    <w:p>
      <w:pPr>
        <w:pStyle w:val="ListBullet"/>
      </w:pPr>
      <w:r>
        <w:t>Privacy and Legal support incidents involving personal data, regulatory exposure, or stakeholder harm.</w:t>
      </w:r>
    </w:p>
    <w:p>
      <w:pPr>
        <w:pStyle w:val="ListBullet"/>
      </w:pPr>
      <w:r>
        <w:t>Business and platform owners support technical analysis, remediation, and communications planning.</w:t>
      </w:r>
    </w:p>
    <w:p>
      <w:pPr>
        <w:pStyle w:val="ListBullet"/>
      </w:pPr>
      <w:r>
        <w:t>Leadership reviews material incidents, open issues, and recurring trends through the governance process.</w:t>
      </w:r>
    </w:p>
    <w:p/>
    <w:p>
      <w:pPr>
        <w:pStyle w:val="GovH1"/>
      </w:pPr>
      <w:r>
        <w:t>Required Records and Evidence</w:t>
      </w:r>
    </w:p>
    <w:p>
      <w:pPr>
        <w:pStyle w:val="ListBullet"/>
      </w:pPr>
      <w:r>
        <w:t>Monitoring standard</w:t>
      </w:r>
    </w:p>
    <w:p>
      <w:pPr>
        <w:pStyle w:val="ListBullet"/>
      </w:pPr>
      <w:r>
        <w:t>Incident response playbook</w:t>
      </w:r>
    </w:p>
    <w:p>
      <w:pPr>
        <w:pStyle w:val="ListBullet"/>
      </w:pPr>
      <w:r>
        <w:t>Incident intake forms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Corrective action tracker</w:t>
      </w:r>
    </w:p>
    <w:p/>
    <w:p>
      <w:pPr>
        <w:pStyle w:val="GovH1"/>
      </w:pPr>
      <w:r>
        <w:t>Required Companion Templates</w:t>
      </w:r>
    </w:p>
    <w:p>
      <w:pPr>
        <w:pStyle w:val="ListBullet"/>
      </w:pPr>
      <w:r>
        <w:t>AI Logging and Monitoring Standard</w:t>
      </w:r>
    </w:p>
    <w:p>
      <w:pPr>
        <w:pStyle w:val="ListBullet"/>
      </w:pPr>
      <w:r>
        <w:t>AI Incident Response Playbook</w:t>
      </w:r>
    </w:p>
    <w:p>
      <w:pPr>
        <w:pStyle w:val="ListBullet"/>
      </w:pPr>
      <w:r>
        <w:t>AI Incident Intake Form</w:t>
      </w:r>
    </w:p>
    <w:p>
      <w:pPr>
        <w:pStyle w:val="ListBullet"/>
      </w:pPr>
      <w:r>
        <w:t>AI Harm and Impact Assessment Sheet</w:t>
      </w:r>
    </w:p>
    <w:p>
      <w:pPr>
        <w:pStyle w:val="ListBullet"/>
      </w:pPr>
      <w:r>
        <w:t>Post-Incident Corrective Action Tracker</w:t>
      </w:r>
    </w:p>
    <w:p>
      <w:pPr>
        <w:pStyle w:val="ListBullet"/>
      </w:pPr>
      <w:r>
        <w:t>Implementation note: This policy should be approved by the client’s designated owner, linked to operating procedures, and reviewed at least annually or after a material AI-related change.</w:t>
      </w:r>
    </w:p>
    <w:p/>
    <w:p>
      <w:pPr>
        <w:pStyle w:val="GovH1"/>
      </w:pPr>
      <w:r>
        <w:t>Implementation Note</w:t>
      </w:r>
    </w:p>
    <w:p>
      <w:r>
        <w:t>This policy should be approved by the client’s designated owner, linked to operating procedures, and reviewed at least annually or after a material AI-related change.</w:t>
      </w:r>
    </w:p>
    <w:p>
      <w:r>
        <w:br w:type="page"/>
      </w:r>
    </w:p>
    <w:p>
      <w:pPr>
        <w:pStyle w:val="Title"/>
        <w:jc w:val="left"/>
      </w:pPr>
      <w:r>
        <w:rPr>
          <w:b/>
          <w:sz w:val="44"/>
        </w:rPr>
        <w:t>GovSecure Licensing and Usage</w:t>
      </w:r>
    </w:p>
    <w:p>
      <w:pPr>
        <w:pStyle w:val="Heading1"/>
      </w:pPr>
      <w:r>
        <w:rPr>
          <w:b/>
          <w:sz w:val="26"/>
        </w:rPr>
        <w:t>License Scope</w:t>
      </w:r>
    </w:p>
    <w:p>
      <w:pPr/>
      <w:r>
        <w:t>This GovSecure policy template is licensed for use by a single purchasing organization for its internal governance, risk, compliance, privacy, security, and operational activities.</w:t>
      </w:r>
    </w:p>
    <w:p>
      <w:pPr>
        <w:pStyle w:val="Heading1"/>
      </w:pPr>
      <w:r>
        <w:rPr>
          <w:b/>
          <w:sz w:val="26"/>
        </w:rPr>
        <w:t>Permitted Use</w:t>
      </w:r>
    </w:p>
    <w:p>
      <w:pPr/>
      <w:r>
        <w:t>The purchaser may edit, tailor, and deploy this document for internal business use, including policy adoption, training, audit preparation, and enterprise AI governance program development.</w:t>
      </w:r>
    </w:p>
    <w:p>
      <w:pPr>
        <w:pStyle w:val="Heading1"/>
      </w:pPr>
      <w:r>
        <w:rPr>
          <w:b/>
          <w:sz w:val="26"/>
        </w:rPr>
        <w:t>Restricted Use</w:t>
      </w:r>
    </w:p>
    <w:p>
      <w:pPr/>
      <w:r>
        <w:t>The purchaser may not resell, sublicense, redistribute, publish, bundle, or offer this document, whether modified or unmodified, as a standalone product, template pack, or commercial deliverable to third parties without written permission from GovSecure.</w:t>
      </w:r>
    </w:p>
    <w:p>
      <w:pPr>
        <w:pStyle w:val="Heading1"/>
      </w:pPr>
      <w:r>
        <w:rPr>
          <w:b/>
          <w:sz w:val="26"/>
        </w:rPr>
        <w:t>Customization Responsibility</w:t>
      </w:r>
    </w:p>
    <w:p>
      <w:pPr/>
      <w:r>
        <w:t>This template is intended as a practical governance baseline. The purchaser is responsible for reviewing and customizing roles, approval paths, legal references, technical controls, records requirements, and jurisdiction-specific obligations before adoption.</w:t>
      </w:r>
    </w:p>
    <w:p>
      <w:pPr>
        <w:pStyle w:val="Heading1"/>
      </w:pPr>
      <w:r>
        <w:rPr>
          <w:b/>
          <w:sz w:val="26"/>
        </w:rPr>
        <w:t>No Legal Advice</w:t>
      </w:r>
    </w:p>
    <w:p>
      <w:pPr/>
      <w:r>
        <w:t>This document is not legal advice and does not create an attorney-client relationship. Organizations should obtain legal, privacy, regulatory, or sector-specific review where required.</w:t>
      </w:r>
    </w:p>
    <w:p>
      <w:pPr>
        <w:pStyle w:val="Heading1"/>
      </w:pPr>
      <w:r>
        <w:rPr>
          <w:b/>
          <w:sz w:val="26"/>
        </w:rPr>
        <w:t>Warranty and Liability</w:t>
      </w:r>
    </w:p>
    <w:p>
      <w:pPr/>
      <w:r>
        <w:t>This material is provided as-is for professional use. GovSecure makes no guarantee that this document alone will satisfy every legal, regulatory, contractual, or audit requirement in every jurisdiction or use case.</w:t>
      </w:r>
    </w:p>
    <w:p>
      <w:pPr>
        <w:pStyle w:val="Heading1"/>
      </w:pPr>
      <w:r>
        <w:rPr>
          <w:b/>
          <w:sz w:val="26"/>
        </w:rPr>
        <w:t>Copyright</w:t>
      </w:r>
    </w:p>
    <w:p>
      <w:pPr/>
      <w:r>
        <w:t>Copyright GovSecure. All rights reserved. Use is subject to the applicable purchase terms, license terms, statement of work, or written authorization issued by GovSecure.</w:t>
      </w:r>
    </w:p>
    <w:p>
      <w:pPr>
        <w:pStyle w:val="Heading1"/>
      </w:pPr>
      <w:r>
        <w:rPr>
          <w:b/>
          <w:sz w:val="26"/>
        </w:rPr>
        <w:t>Contact</w:t>
      </w:r>
    </w:p>
    <w:p>
      <w:pPr/>
      <w:r>
        <w:t>For enterprise licensing, customization, or commercial reuse inquiries, contact GovSecure through its authorized business channel.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GovSecure.ai  |  AI Governance. Secured. Delivered.  |  Standalone Policy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Title">
    <w:name w:val="GovTitle"/>
    <w:pPr>
      <w:spacing w:after="0"/>
    </w:pPr>
    <w:rPr>
      <w:rFonts w:ascii="Aptos" w:hAnsi="Aptos"/>
      <w:b/>
      <w:color w:val="173F7A"/>
      <w:sz w:val="52"/>
    </w:rPr>
  </w:style>
  <w:style w:type="paragraph" w:customStyle="1" w:styleId="GovSub">
    <w:name w:val="GovSub"/>
    <w:rPr>
      <w:rFonts w:ascii="Aptos" w:hAnsi="Aptos"/>
      <w:b w:val="0"/>
      <w:color w:val="4F6B8F"/>
      <w:sz w:val="26"/>
    </w:rPr>
  </w:style>
  <w:style w:type="paragraph" w:customStyle="1" w:styleId="GovH1">
    <w:name w:val="GovH1"/>
    <w:pPr>
      <w:spacing w:before="160" w:after="120"/>
    </w:pPr>
    <w:rPr>
      <w:rFonts w:ascii="Aptos" w:hAnsi="Aptos"/>
      <w:b/>
      <w:color w:val="173F7A"/>
      <w:sz w:val="36"/>
    </w:rPr>
  </w:style>
  <w:style w:type="paragraph" w:customStyle="1" w:styleId="GovH2">
    <w:name w:val="GovH2"/>
    <w:pPr>
      <w:spacing w:before="120" w:after="80"/>
    </w:pPr>
    <w:rPr>
      <w:rFonts w:ascii="Aptos" w:hAnsi="Aptos"/>
      <w:b/>
      <w:color w:val="1F4E79"/>
      <w:sz w:val="26"/>
    </w:rPr>
  </w:style>
  <w:style w:type="paragraph" w:customStyle="1" w:styleId="GovCallout">
    <w:name w:val="GovCallout"/>
    <w:rPr>
      <w:rFonts w:ascii="Aptos" w:hAnsi="Aptos"/>
      <w:b w:val="0"/>
      <w:color w:val="4A4A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