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GovTitle"/>
        <w:jc w:val="left"/>
      </w:pPr>
      <w:r>
        <w:t>GovSecure</w:t>
      </w:r>
    </w:p>
    <w:p>
      <w:pPr>
        <w:pStyle w:val="GovTitle"/>
        <w:spacing w:after="200"/>
      </w:pPr>
      <w:r>
        <w:t>AI Risk Assessment and Use-Case Approval Policy</w:t>
      </w:r>
    </w:p>
    <w:p>
      <w:pPr>
        <w:pStyle w:val="GovSub"/>
      </w:pPr>
      <w:r>
        <w:t>Standalone Branded Policy Document</w:t>
      </w:r>
    </w:p>
    <w:p>
      <w:pPr>
        <w:spacing w:after="280"/>
      </w:pPr>
      <w:r>
        <w:rPr>
          <w:i/>
          <w:sz w:val="22"/>
        </w:rPr>
        <w:t>Practical governance beats vague good intentions.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fill="173F7A"/>
            <w:tcBorders>
              <w:left w:val="single" w:sz="8" w:color="D7E3F3"/>
              <w:top w:val="single" w:sz="8" w:color="D7E3F3"/>
              <w:right w:val="single" w:sz="8" w:color="D7E3F3"/>
              <w:bottom w:val="single" w:sz="8" w:color="D7E3F3"/>
            </w:tcBorders>
            <w:vAlign w:val="center"/>
          </w:tcPr>
          <w:p>
            <w:r>
              <w:rPr>
                <w:b/>
                <w:color w:val="FFFFFF"/>
                <w:sz w:val="20"/>
              </w:rPr>
              <w:t>Primary owner</w:t>
            </w:r>
          </w:p>
        </w:tc>
        <w:tc>
          <w:tcPr>
            <w:tcW w:type="dxa" w:w="7056"/>
            <w:shd w:fill="EAF1FB"/>
            <w:tcBorders>
              <w:left w:val="single" w:sz="8" w:color="D7E3F3"/>
              <w:top w:val="single" w:sz="8" w:color="D7E3F3"/>
              <w:right w:val="single" w:sz="8" w:color="D7E3F3"/>
              <w:bottom w:val="single" w:sz="8" w:color="D7E3F3"/>
            </w:tcBorders>
            <w:vAlign w:val="center"/>
          </w:tcPr>
          <w:p>
            <w:r>
              <w:rPr>
                <w:sz w:val="20"/>
              </w:rPr>
              <w:t>AI Governance Lead</w:t>
            </w:r>
          </w:p>
        </w:tc>
      </w:tr>
      <w:tr>
        <w:tc>
          <w:tcPr>
            <w:tcW w:type="dxa" w:w="2448"/>
            <w:shd w:fill="173F7A"/>
            <w:tcBorders>
              <w:left w:val="single" w:sz="8" w:color="D7E3F3"/>
              <w:top w:val="single" w:sz="8" w:color="D7E3F3"/>
              <w:right w:val="single" w:sz="8" w:color="D7E3F3"/>
              <w:bottom w:val="single" w:sz="8" w:color="D7E3F3"/>
            </w:tcBorders>
            <w:vAlign w:val="center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7056"/>
            <w:shd w:fill="EAF1FB"/>
            <w:tcBorders>
              <w:left w:val="single" w:sz="8" w:color="D7E3F3"/>
              <w:top w:val="single" w:sz="8" w:color="D7E3F3"/>
              <w:right w:val="single" w:sz="8" w:color="D7E3F3"/>
              <w:bottom w:val="single" w:sz="8" w:color="D7E3F3"/>
            </w:tcBorders>
            <w:vAlign w:val="center"/>
          </w:tcPr>
          <w:p>
            <w:r>
              <w:rPr>
                <w:sz w:val="20"/>
              </w:rPr>
              <w:t>v1.0 | Paid SMB Edition</w:t>
            </w:r>
          </w:p>
        </w:tc>
      </w:tr>
    </w:tbl>
    <w:p/>
    <w:p>
      <w:pPr>
        <w:pStyle w:val="GovCallout"/>
      </w:pPr>
      <w:r>
        <w:t>Use this document as a client-ready policy baseline. Customize named roles, escalation paths, and references to internal standards, classifications, and regulatory obligations before approval.</w:t>
      </w:r>
    </w:p>
    <w:p>
      <w:r>
        <w:br w:type="page"/>
      </w:r>
    </w:p>
    <w:p>
      <w:pPr>
        <w:pStyle w:val="GovH1"/>
      </w:pPr>
      <w:r>
        <w:t>Policy 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EF4FB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Requires AI use cases to be reviewed before adoption, procurement, deployment, or material change, and establishes risk tiers, approval triggers, prohibited uses, and enhanced review criteria.</w:t>
            </w:r>
          </w:p>
        </w:tc>
      </w:tr>
      <w:tr>
        <w:tc>
          <w:tcPr>
            <w:tcW w:type="dxa" w:w="4968"/>
            <w:shd w:fill="EEF4FB"/>
          </w:tcPr>
          <w:p>
            <w:r>
              <w:rPr>
                <w:b/>
                <w:sz w:val="20"/>
              </w:rPr>
              <w:t>Scope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Applies to all new AI use cases, major changes to approved AI solutions, and any exceptions, including internally built and third-party AI capabilities.</w:t>
            </w:r>
          </w:p>
        </w:tc>
      </w:tr>
      <w:tr>
        <w:tc>
          <w:tcPr>
            <w:tcW w:type="dxa" w:w="4968"/>
            <w:shd w:fill="EEF4FB"/>
          </w:tcPr>
          <w:p>
            <w:r>
              <w:rPr>
                <w:b/>
                <w:sz w:val="20"/>
              </w:rPr>
              <w:t>Primary owner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AI Governance Lead</w:t>
            </w:r>
          </w:p>
        </w:tc>
      </w:tr>
      <w:tr>
        <w:tc>
          <w:tcPr>
            <w:tcW w:type="dxa" w:w="4968"/>
            <w:shd w:fill="EEF4FB"/>
          </w:tcPr>
          <w:p>
            <w:r>
              <w:rPr>
                <w:b/>
                <w:sz w:val="20"/>
              </w:rPr>
              <w:t>Audience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Business owners, project sponsors, AI requestors, procurement, IT, Security, Privacy, and Legal</w:t>
            </w:r>
          </w:p>
        </w:tc>
      </w:tr>
    </w:tbl>
    <w:p/>
    <w:p>
      <w:pPr>
        <w:pStyle w:val="GovH1"/>
      </w:pPr>
      <w:r>
        <w:t>Policy Statements</w:t>
      </w:r>
    </w:p>
    <w:p>
      <w:pPr>
        <w:pStyle w:val="ListBullet"/>
      </w:pPr>
      <w:r>
        <w:t>All new AI use cases shall be submitted through the enterprise AI intake process before deployment, procurement, or broad internal release.</w:t>
      </w:r>
    </w:p>
    <w:p>
      <w:pPr>
        <w:pStyle w:val="ListBullet"/>
      </w:pPr>
      <w:r>
        <w:t>Each use case shall be assigned a risk tier based on data sensitivity, decision impact, user population, autonomy, transparency needs, and vendor or technical dependencies.</w:t>
      </w:r>
    </w:p>
    <w:p>
      <w:pPr>
        <w:pStyle w:val="ListBullet"/>
      </w:pPr>
      <w:r>
        <w:t>High-risk, sensitive, or regulated use cases shall require enhanced review and documented approvals from relevant control functions before go-live.</w:t>
      </w:r>
    </w:p>
    <w:p>
      <w:pPr>
        <w:pStyle w:val="ListBullet"/>
      </w:pPr>
      <w:r>
        <w:t>Use cases involving employment, finance, legal, safety, health, minors, profiling, or high-impact customer decisions shall be presumed elevated risk unless documented otherwise.</w:t>
      </w:r>
    </w:p>
    <w:p>
      <w:pPr>
        <w:pStyle w:val="ListBullet"/>
      </w:pPr>
      <w:r>
        <w:t>Material changes to approved AI systems, including new data sources, new actions, new integrations, or model/provider changes, shall trigger reassessment.</w:t>
      </w:r>
    </w:p>
    <w:p>
      <w:pPr>
        <w:pStyle w:val="ListBullet"/>
      </w:pPr>
      <w:r>
        <w:t>Prohibited use cases shall not proceed without explicit executive approval and formal exception documentation.</w:t>
      </w:r>
    </w:p>
    <w:p/>
    <w:p>
      <w:pPr>
        <w:pStyle w:val="GovH1"/>
      </w:pPr>
      <w:r>
        <w:t>Roles and Responsibilities</w:t>
      </w:r>
    </w:p>
    <w:p>
      <w:pPr>
        <w:pStyle w:val="ListBullet"/>
      </w:pPr>
      <w:r>
        <w:t>Requestors submit new AI use cases and material changes before implementation or expansion.</w:t>
      </w:r>
    </w:p>
    <w:p>
      <w:pPr>
        <w:pStyle w:val="ListBullet"/>
      </w:pPr>
      <w:r>
        <w:t>AI Governance Lead manages triage, risk tiering, approval routing, and exception handling.</w:t>
      </w:r>
    </w:p>
    <w:p>
      <w:pPr>
        <w:pStyle w:val="ListBullet"/>
      </w:pPr>
      <w:r>
        <w:t>Reviewers from Security, Privacy, Legal, and the business participate based on risk level and use case type.</w:t>
      </w:r>
    </w:p>
    <w:p>
      <w:pPr>
        <w:pStyle w:val="ListBullet"/>
      </w:pPr>
      <w:r>
        <w:t>Business owners may not deploy high-risk use cases until required approvals and safeguards are documented.</w:t>
      </w:r>
    </w:p>
    <w:p/>
    <w:p>
      <w:pPr>
        <w:pStyle w:val="GovH1"/>
      </w:pPr>
      <w:r>
        <w:t>Required Records and Evidence</w:t>
      </w:r>
    </w:p>
    <w:p>
      <w:pPr>
        <w:pStyle w:val="ListBullet"/>
      </w:pPr>
      <w:r>
        <w:t>AI use case intake form</w:t>
      </w:r>
    </w:p>
    <w:p>
      <w:pPr>
        <w:pStyle w:val="ListBullet"/>
      </w:pPr>
      <w:r>
        <w:t>Risk tiering worksheet</w:t>
      </w:r>
    </w:p>
    <w:p>
      <w:pPr>
        <w:pStyle w:val="ListBullet"/>
      </w:pPr>
      <w:r>
        <w:t>Approval decision record</w:t>
      </w:r>
    </w:p>
    <w:p>
      <w:pPr>
        <w:pStyle w:val="ListBullet"/>
      </w:pPr>
      <w:r>
        <w:t>Enhanced review notes</w:t>
      </w:r>
    </w:p>
    <w:p>
      <w:pPr>
        <w:pStyle w:val="ListBullet"/>
      </w:pPr>
      <w:r>
        <w:t>Exception register</w:t>
      </w:r>
    </w:p>
    <w:p/>
    <w:p>
      <w:pPr>
        <w:pStyle w:val="GovH1"/>
      </w:pPr>
      <w:r>
        <w:t>Required Companion Templates</w:t>
      </w:r>
    </w:p>
    <w:p>
      <w:pPr>
        <w:pStyle w:val="ListBullet"/>
      </w:pPr>
      <w:r>
        <w:t>AI Use Case Intake Form</w:t>
      </w:r>
    </w:p>
    <w:p>
      <w:pPr>
        <w:pStyle w:val="ListBullet"/>
      </w:pPr>
      <w:r>
        <w:t>AI Risk Tiering Worksheet</w:t>
      </w:r>
    </w:p>
    <w:p>
      <w:pPr>
        <w:pStyle w:val="ListBullet"/>
      </w:pPr>
      <w:r>
        <w:t>AI Approval Decision Record</w:t>
      </w:r>
    </w:p>
    <w:p>
      <w:pPr>
        <w:pStyle w:val="ListBullet"/>
      </w:pPr>
      <w:r>
        <w:t>High-Risk AI Review Checklist</w:t>
      </w:r>
    </w:p>
    <w:p>
      <w:pPr>
        <w:pStyle w:val="ListBullet"/>
      </w:pPr>
      <w:r>
        <w:t>AI Exception Request Form</w:t>
      </w:r>
    </w:p>
    <w:p>
      <w:pPr>
        <w:pStyle w:val="ListBullet"/>
      </w:pPr>
      <w:r>
        <w:t>Implementation note: This policy should be approved by the client’s designated owner, linked to operating procedures, and reviewed at least annually or after a material AI-related change.</w:t>
      </w:r>
    </w:p>
    <w:p/>
    <w:p>
      <w:pPr>
        <w:pStyle w:val="GovH1"/>
      </w:pPr>
      <w:r>
        <w:t>Implementation Note</w:t>
      </w:r>
    </w:p>
    <w:p>
      <w:r>
        <w:t>This policy should be approved by the client’s designated owner, linked to operating procedures, and reviewed at least annually or after a material AI-related change.</w:t>
      </w:r>
    </w:p>
    <w:p>
      <w:r>
        <w:br w:type="page"/>
      </w:r>
    </w:p>
    <w:p>
      <w:pPr>
        <w:pStyle w:val="Title"/>
        <w:jc w:val="left"/>
      </w:pPr>
      <w:r>
        <w:rPr>
          <w:b/>
          <w:sz w:val="44"/>
        </w:rPr>
        <w:t>GovSecure Licensing and Usage</w:t>
      </w:r>
    </w:p>
    <w:p>
      <w:pPr>
        <w:pStyle w:val="Heading1"/>
      </w:pPr>
      <w:r>
        <w:rPr>
          <w:b/>
          <w:sz w:val="26"/>
        </w:rPr>
        <w:t>License Scope</w:t>
      </w:r>
    </w:p>
    <w:p>
      <w:pPr/>
      <w:r>
        <w:t>This GovSecure policy template is licensed for use by a single purchasing organization for its internal governance, risk, compliance, privacy, security, and operational activities.</w:t>
      </w:r>
    </w:p>
    <w:p>
      <w:pPr>
        <w:pStyle w:val="Heading1"/>
      </w:pPr>
      <w:r>
        <w:rPr>
          <w:b/>
          <w:sz w:val="26"/>
        </w:rPr>
        <w:t>Permitted Use</w:t>
      </w:r>
    </w:p>
    <w:p>
      <w:pPr/>
      <w:r>
        <w:t>The purchaser may edit, tailor, and deploy this document for internal business use, including policy adoption, training, audit preparation, and enterprise AI governance program development.</w:t>
      </w:r>
    </w:p>
    <w:p>
      <w:pPr>
        <w:pStyle w:val="Heading1"/>
      </w:pPr>
      <w:r>
        <w:rPr>
          <w:b/>
          <w:sz w:val="26"/>
        </w:rPr>
        <w:t>Restricted Use</w:t>
      </w:r>
    </w:p>
    <w:p>
      <w:pPr/>
      <w:r>
        <w:t>The purchaser may not resell, sublicense, redistribute, publish, bundle, or offer this document, whether modified or unmodified, as a standalone product, template pack, or commercial deliverable to third parties without written permission from GovSecure.</w:t>
      </w:r>
    </w:p>
    <w:p>
      <w:pPr>
        <w:pStyle w:val="Heading1"/>
      </w:pPr>
      <w:r>
        <w:rPr>
          <w:b/>
          <w:sz w:val="26"/>
        </w:rPr>
        <w:t>Customization Responsibility</w:t>
      </w:r>
    </w:p>
    <w:p>
      <w:pPr/>
      <w:r>
        <w:t>This template is intended as a practical governance baseline. The purchaser is responsible for reviewing and customizing roles, approval paths, legal references, technical controls, records requirements, and jurisdiction-specific obligations before adoption.</w:t>
      </w:r>
    </w:p>
    <w:p>
      <w:pPr>
        <w:pStyle w:val="Heading1"/>
      </w:pPr>
      <w:r>
        <w:rPr>
          <w:b/>
          <w:sz w:val="26"/>
        </w:rPr>
        <w:t>No Legal Advice</w:t>
      </w:r>
    </w:p>
    <w:p>
      <w:pPr/>
      <w:r>
        <w:t>This document is not legal advice and does not create an attorney-client relationship. Organizations should obtain legal, privacy, regulatory, or sector-specific review where required.</w:t>
      </w:r>
    </w:p>
    <w:p>
      <w:pPr>
        <w:pStyle w:val="Heading1"/>
      </w:pPr>
      <w:r>
        <w:rPr>
          <w:b/>
          <w:sz w:val="26"/>
        </w:rPr>
        <w:t>Warranty and Liability</w:t>
      </w:r>
    </w:p>
    <w:p>
      <w:pPr/>
      <w:r>
        <w:t>This material is provided as-is for professional use. GovSecure makes no guarantee that this document alone will satisfy every legal, regulatory, contractual, or audit requirement in every jurisdiction or use case.</w:t>
      </w:r>
    </w:p>
    <w:p>
      <w:pPr>
        <w:pStyle w:val="Heading1"/>
      </w:pPr>
      <w:r>
        <w:rPr>
          <w:b/>
          <w:sz w:val="26"/>
        </w:rPr>
        <w:t>Copyright</w:t>
      </w:r>
    </w:p>
    <w:p>
      <w:pPr/>
      <w:r>
        <w:t>Copyright GovSecure. All rights reserved. Use is subject to the applicable purchase terms, license terms, statement of work, or written authorization issued by GovSecure.</w:t>
      </w:r>
    </w:p>
    <w:p>
      <w:pPr>
        <w:pStyle w:val="Heading1"/>
      </w:pPr>
      <w:r>
        <w:rPr>
          <w:b/>
          <w:sz w:val="26"/>
        </w:rPr>
        <w:t>Contact</w:t>
      </w:r>
    </w:p>
    <w:p>
      <w:pPr/>
      <w:r>
        <w:t>For enterprise licensing, customization, or commercial reuse inquiries, contact GovSecure through its authorized business channel.</w:t>
      </w:r>
    </w:p>
    <w:sectPr w:rsidR="00FC693F" w:rsidRPr="0006063C" w:rsidSect="00034616">
      <w:footerReference w:type="default" r:id="rId9"/>
      <w:pgSz w:w="12240" w:h="15840"/>
      <w:pgMar w:top="1152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8"/>
      </w:rPr>
      <w:t>GovSecure.ai  |  AI Governance. Secured. Delivered.  |  Standalone Policy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ovTitle">
    <w:name w:val="GovTitle"/>
    <w:pPr>
      <w:spacing w:after="0"/>
    </w:pPr>
    <w:rPr>
      <w:rFonts w:ascii="Aptos" w:hAnsi="Aptos"/>
      <w:b/>
      <w:color w:val="173F7A"/>
      <w:sz w:val="52"/>
    </w:rPr>
  </w:style>
  <w:style w:type="paragraph" w:customStyle="1" w:styleId="GovSub">
    <w:name w:val="GovSub"/>
    <w:rPr>
      <w:rFonts w:ascii="Aptos" w:hAnsi="Aptos"/>
      <w:b w:val="0"/>
      <w:color w:val="4F6B8F"/>
      <w:sz w:val="26"/>
    </w:rPr>
  </w:style>
  <w:style w:type="paragraph" w:customStyle="1" w:styleId="GovH1">
    <w:name w:val="GovH1"/>
    <w:pPr>
      <w:spacing w:before="160" w:after="120"/>
    </w:pPr>
    <w:rPr>
      <w:rFonts w:ascii="Aptos" w:hAnsi="Aptos"/>
      <w:b/>
      <w:color w:val="173F7A"/>
      <w:sz w:val="36"/>
    </w:rPr>
  </w:style>
  <w:style w:type="paragraph" w:customStyle="1" w:styleId="GovH2">
    <w:name w:val="GovH2"/>
    <w:pPr>
      <w:spacing w:before="120" w:after="80"/>
    </w:pPr>
    <w:rPr>
      <w:rFonts w:ascii="Aptos" w:hAnsi="Aptos"/>
      <w:b/>
      <w:color w:val="1F4E79"/>
      <w:sz w:val="26"/>
    </w:rPr>
  </w:style>
  <w:style w:type="paragraph" w:customStyle="1" w:styleId="GovCallout">
    <w:name w:val="GovCallout"/>
    <w:rPr>
      <w:rFonts w:ascii="Aptos" w:hAnsi="Aptos"/>
      <w:b w:val="0"/>
      <w:color w:val="4A4A4A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