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ovTitle"/>
        <w:jc w:val="left"/>
      </w:pPr>
      <w:r>
        <w:t>GovSecure</w:t>
      </w:r>
    </w:p>
    <w:p>
      <w:pPr>
        <w:pStyle w:val="GovTitle"/>
        <w:spacing w:after="200"/>
      </w:pPr>
      <w:r>
        <w:t>AI Security Policy</w:t>
      </w:r>
    </w:p>
    <w:p>
      <w:pPr>
        <w:pStyle w:val="GovSub"/>
      </w:pPr>
      <w:r>
        <w:t>Standalone Branded Policy Document</w:t>
      </w:r>
    </w:p>
    <w:p>
      <w:pPr>
        <w:spacing w:after="280"/>
      </w:pPr>
      <w:r>
        <w:rPr>
          <w:i/>
          <w:sz w:val="22"/>
        </w:rPr>
        <w:t>Practical governance beats vague good intentions.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173F7A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Primary owner</w:t>
            </w:r>
          </w:p>
        </w:tc>
        <w:tc>
          <w:tcPr>
            <w:tcW w:type="dxa" w:w="7056"/>
            <w:shd w:fill="EAF1FB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sz w:val="20"/>
              </w:rPr>
              <w:t>Information Security Lead</w:t>
            </w:r>
          </w:p>
        </w:tc>
      </w:tr>
      <w:tr>
        <w:tc>
          <w:tcPr>
            <w:tcW w:type="dxa" w:w="2448"/>
            <w:shd w:fill="173F7A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056"/>
            <w:shd w:fill="EAF1FB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sz w:val="20"/>
              </w:rPr>
              <w:t>v1.0 | Paid SMB Edition</w:t>
            </w:r>
          </w:p>
        </w:tc>
      </w:tr>
    </w:tbl>
    <w:p/>
    <w:p>
      <w:pPr>
        <w:pStyle w:val="GovCallout"/>
      </w:pPr>
      <w:r>
        <w:t>Use this document as a client-ready policy baseline. Customize named roles, escalation paths, and references to internal standards, classifications, and regulatory obligations before approval.</w:t>
      </w:r>
    </w:p>
    <w:p>
      <w:r>
        <w:br w:type="page"/>
      </w:r>
    </w:p>
    <w:p>
      <w:pPr>
        <w:pStyle w:val="GovH1"/>
      </w:pPr>
      <w:r>
        <w:t>Policy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Defines security requirements for enterprise AI tools, models, APIs, agents, integrations, credentials, logging, and access, including controls for misuse, prompt injection, and data leakage.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Applies to enterprise AI systems, connectors, APIs, agentic features, retrieval layers, administrative access, and all supporting technical integrations.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Primary owner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Information Security Lead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Security teams, IT administrators, developers, engineers, platform owners, and privileged AI capability users</w:t>
            </w:r>
          </w:p>
        </w:tc>
      </w:tr>
    </w:tbl>
    <w:p/>
    <w:p>
      <w:pPr>
        <w:pStyle w:val="GovH1"/>
      </w:pPr>
      <w:r>
        <w:t>Policy Statements</w:t>
      </w:r>
    </w:p>
    <w:p>
      <w:pPr>
        <w:pStyle w:val="ListBullet"/>
      </w:pPr>
      <w:r>
        <w:t>AI systems shall implement least-privilege access, appropriate authentication, approved identity integrations, and access review practices commensurate with risk.</w:t>
      </w:r>
    </w:p>
    <w:p>
      <w:pPr>
        <w:pStyle w:val="ListBullet"/>
      </w:pPr>
      <w:r>
        <w:t>Secrets, API keys, service accounts, connectors, and retrieval stores used by AI systems shall be protected, monitored, and managed in accordance with enterprise security standards.</w:t>
      </w:r>
    </w:p>
    <w:p>
      <w:pPr>
        <w:pStyle w:val="ListBullet"/>
      </w:pPr>
      <w:r>
        <w:t>Logging shall be enabled for administrative access, privileged actions, connector use, material configuration changes, and AI incidents or suspected misuse where technically feasible.</w:t>
      </w:r>
    </w:p>
    <w:p>
      <w:pPr>
        <w:pStyle w:val="ListBullet"/>
      </w:pPr>
      <w:r>
        <w:t>AI systems that can take actions, access enterprise repositories, or influence workflows shall implement scoped permissions, testing, and rollback or disablement capabilities.</w:t>
      </w:r>
    </w:p>
    <w:p>
      <w:pPr>
        <w:pStyle w:val="ListBullet"/>
      </w:pPr>
      <w:r>
        <w:t>Prompt injection, data leakage, model abuse, cross-tenant exposure, and unsafe retrieval risks shall be addressed through layered security controls and periodic validation.</w:t>
      </w:r>
    </w:p>
    <w:p>
      <w:pPr>
        <w:pStyle w:val="ListBullet"/>
      </w:pPr>
      <w:r>
        <w:t>No AI integration may bypass approved security architecture, network, endpoint, API, or secrets-management controls.</w:t>
      </w:r>
    </w:p>
    <w:p/>
    <w:p>
      <w:pPr>
        <w:pStyle w:val="GovH1"/>
      </w:pPr>
      <w:r>
        <w:t>Roles and Responsibilities</w:t>
      </w:r>
    </w:p>
    <w:p>
      <w:pPr>
        <w:pStyle w:val="ListBullet"/>
      </w:pPr>
      <w:r>
        <w:t>Information Security defines baseline safeguards for access, logging, integration, secrets, and testing.</w:t>
      </w:r>
    </w:p>
    <w:p>
      <w:pPr>
        <w:pStyle w:val="ListBullet"/>
      </w:pPr>
      <w:r>
        <w:t>IT and platform owners implement approved configurations and maintain secure operational controls.</w:t>
      </w:r>
    </w:p>
    <w:p>
      <w:pPr>
        <w:pStyle w:val="ListBullet"/>
      </w:pPr>
      <w:r>
        <w:t>Developers and integrators follow secure design requirements for prompts, APIs, connectors, and agents.</w:t>
      </w:r>
    </w:p>
    <w:p>
      <w:pPr>
        <w:pStyle w:val="ListBullet"/>
      </w:pPr>
      <w:r>
        <w:t>Business owners may not enable high-risk AI capabilities without required security review and sign-off.</w:t>
      </w:r>
    </w:p>
    <w:p/>
    <w:p>
      <w:pPr>
        <w:pStyle w:val="GovH1"/>
      </w:pPr>
      <w:r>
        <w:t>Required Records and Evidence</w:t>
      </w:r>
    </w:p>
    <w:p>
      <w:pPr>
        <w:pStyle w:val="ListBullet"/>
      </w:pPr>
      <w:r>
        <w:t>Security architecture review</w:t>
      </w:r>
    </w:p>
    <w:p>
      <w:pPr>
        <w:pStyle w:val="ListBullet"/>
      </w:pPr>
      <w:r>
        <w:t>Access review evidence</w:t>
      </w:r>
    </w:p>
    <w:p>
      <w:pPr>
        <w:pStyle w:val="ListBullet"/>
      </w:pPr>
      <w:r>
        <w:t>Logging standard</w:t>
      </w:r>
    </w:p>
    <w:p>
      <w:pPr>
        <w:pStyle w:val="ListBullet"/>
      </w:pPr>
      <w:r>
        <w:t>Penetration or abuse testing results</w:t>
      </w:r>
    </w:p>
    <w:p>
      <w:pPr>
        <w:pStyle w:val="ListBullet"/>
      </w:pPr>
      <w:r>
        <w:t>Incident intake records</w:t>
      </w:r>
    </w:p>
    <w:p/>
    <w:p>
      <w:pPr>
        <w:pStyle w:val="GovH1"/>
      </w:pPr>
      <w:r>
        <w:t>Required Companion Templates</w:t>
      </w:r>
    </w:p>
    <w:p>
      <w:pPr>
        <w:pStyle w:val="ListBullet"/>
      </w:pPr>
      <w:r>
        <w:t>AI Security Control Baseline</w:t>
      </w:r>
    </w:p>
    <w:p>
      <w:pPr>
        <w:pStyle w:val="ListBullet"/>
      </w:pPr>
      <w:r>
        <w:t>AI Access Control Review Form</w:t>
      </w:r>
    </w:p>
    <w:p>
      <w:pPr>
        <w:pStyle w:val="ListBullet"/>
      </w:pPr>
      <w:r>
        <w:t>AI API and Integration Security Checklist</w:t>
      </w:r>
    </w:p>
    <w:p>
      <w:pPr>
        <w:pStyle w:val="ListBullet"/>
      </w:pPr>
      <w:r>
        <w:t>Prompt Injection and Abuse Testing Checklist</w:t>
      </w:r>
    </w:p>
    <w:p>
      <w:pPr>
        <w:pStyle w:val="ListBullet"/>
      </w:pPr>
      <w:r>
        <w:t>AI Security Incident Intake Form</w:t>
      </w:r>
    </w:p>
    <w:p>
      <w:pPr>
        <w:pStyle w:val="ListBullet"/>
      </w:pPr>
      <w:r>
        <w:t>Implementation note: This policy should be approved by the client’s designated owner, linked to operating procedures, and reviewed at least annually or after a material AI-related change.</w:t>
      </w:r>
    </w:p>
    <w:p/>
    <w:p>
      <w:pPr>
        <w:pStyle w:val="GovH1"/>
      </w:pPr>
      <w:r>
        <w:t>Implementation Note</w:t>
      </w:r>
    </w:p>
    <w:p>
      <w:r>
        <w:t>This policy should be approved by the client’s designated owner, linked to operating procedures, and reviewed at least annually or after a material AI-related change.</w:t>
      </w:r>
    </w:p>
    <w:p>
      <w:r>
        <w:br w:type="page"/>
      </w:r>
    </w:p>
    <w:p>
      <w:pPr>
        <w:pStyle w:val="Title"/>
        <w:jc w:val="left"/>
      </w:pPr>
      <w:r>
        <w:rPr>
          <w:b/>
          <w:sz w:val="44"/>
        </w:rPr>
        <w:t>GovSecure Licensing and Usage</w:t>
      </w:r>
    </w:p>
    <w:p>
      <w:pPr>
        <w:pStyle w:val="Heading1"/>
      </w:pPr>
      <w:r>
        <w:rPr>
          <w:b/>
          <w:sz w:val="26"/>
        </w:rPr>
        <w:t>License Scope</w:t>
      </w:r>
    </w:p>
    <w:p>
      <w:pPr/>
      <w:r>
        <w:t>This GovSecure policy template is licensed for use by a single purchasing organization for its internal governance, risk, compliance, privacy, security, and operational activities.</w:t>
      </w:r>
    </w:p>
    <w:p>
      <w:pPr>
        <w:pStyle w:val="Heading1"/>
      </w:pPr>
      <w:r>
        <w:rPr>
          <w:b/>
          <w:sz w:val="26"/>
        </w:rPr>
        <w:t>Permitted Use</w:t>
      </w:r>
    </w:p>
    <w:p>
      <w:pPr/>
      <w:r>
        <w:t>The purchaser may edit, tailor, and deploy this document for internal business use, including policy adoption, training, audit preparation, and enterprise AI governance program development.</w:t>
      </w:r>
    </w:p>
    <w:p>
      <w:pPr>
        <w:pStyle w:val="Heading1"/>
      </w:pPr>
      <w:r>
        <w:rPr>
          <w:b/>
          <w:sz w:val="26"/>
        </w:rPr>
        <w:t>Restricted Use</w:t>
      </w:r>
    </w:p>
    <w:p>
      <w:pPr/>
      <w:r>
        <w:t>The purchaser may not resell, sublicense, redistribute, publish, bundle, or offer this document, whether modified or unmodified, as a standalone product, template pack, or commercial deliverable to third parties without written permission from GovSecure.</w:t>
      </w:r>
    </w:p>
    <w:p>
      <w:pPr>
        <w:pStyle w:val="Heading1"/>
      </w:pPr>
      <w:r>
        <w:rPr>
          <w:b/>
          <w:sz w:val="26"/>
        </w:rPr>
        <w:t>Customization Responsibility</w:t>
      </w:r>
    </w:p>
    <w:p>
      <w:pPr/>
      <w:r>
        <w:t>This template is intended as a practical governance baseline. The purchaser is responsible for reviewing and customizing roles, approval paths, legal references, technical controls, records requirements, and jurisdiction-specific obligations before adoption.</w:t>
      </w:r>
    </w:p>
    <w:p>
      <w:pPr>
        <w:pStyle w:val="Heading1"/>
      </w:pPr>
      <w:r>
        <w:rPr>
          <w:b/>
          <w:sz w:val="26"/>
        </w:rPr>
        <w:t>No Legal Advice</w:t>
      </w:r>
    </w:p>
    <w:p>
      <w:pPr/>
      <w:r>
        <w:t>This document is not legal advice and does not create an attorney-client relationship. Organizations should obtain legal, privacy, regulatory, or sector-specific review where required.</w:t>
      </w:r>
    </w:p>
    <w:p>
      <w:pPr>
        <w:pStyle w:val="Heading1"/>
      </w:pPr>
      <w:r>
        <w:rPr>
          <w:b/>
          <w:sz w:val="26"/>
        </w:rPr>
        <w:t>Warranty and Liability</w:t>
      </w:r>
    </w:p>
    <w:p>
      <w:pPr/>
      <w:r>
        <w:t>This material is provided as-is for professional use. GovSecure makes no guarantee that this document alone will satisfy every legal, regulatory, contractual, or audit requirement in every jurisdiction or use case.</w:t>
      </w:r>
    </w:p>
    <w:p>
      <w:pPr>
        <w:pStyle w:val="Heading1"/>
      </w:pPr>
      <w:r>
        <w:rPr>
          <w:b/>
          <w:sz w:val="26"/>
        </w:rPr>
        <w:t>Copyright</w:t>
      </w:r>
    </w:p>
    <w:p>
      <w:pPr/>
      <w:r>
        <w:t>Copyright GovSecure. All rights reserved. Use is subject to the applicable purchase terms, license terms, statement of work, or written authorization issued by GovSecure.</w:t>
      </w:r>
    </w:p>
    <w:p>
      <w:pPr>
        <w:pStyle w:val="Heading1"/>
      </w:pPr>
      <w:r>
        <w:rPr>
          <w:b/>
          <w:sz w:val="26"/>
        </w:rPr>
        <w:t>Contact</w:t>
      </w:r>
    </w:p>
    <w:p>
      <w:pPr/>
      <w:r>
        <w:t>For enterprise licensing, customization, or commercial reuse inquiries, contact GovSecure through its authorized business channel.</w:t>
      </w:r>
    </w:p>
    <w:sectPr w:rsidR="00FC693F" w:rsidRPr="0006063C" w:rsidSect="00034616">
      <w:footerReference w:type="default" r:id="rId9"/>
      <w:pgSz w:w="12240" w:h="15840"/>
      <w:pgMar w:top="1152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8"/>
      </w:rPr>
      <w:t>GovSecure.ai  |  AI Governance. Secured. Delivered.  |  Standalone Policy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vTitle">
    <w:name w:val="GovTitle"/>
    <w:pPr>
      <w:spacing w:after="0"/>
    </w:pPr>
    <w:rPr>
      <w:rFonts w:ascii="Aptos" w:hAnsi="Aptos"/>
      <w:b/>
      <w:color w:val="173F7A"/>
      <w:sz w:val="52"/>
    </w:rPr>
  </w:style>
  <w:style w:type="paragraph" w:customStyle="1" w:styleId="GovSub">
    <w:name w:val="GovSub"/>
    <w:rPr>
      <w:rFonts w:ascii="Aptos" w:hAnsi="Aptos"/>
      <w:b w:val="0"/>
      <w:color w:val="4F6B8F"/>
      <w:sz w:val="26"/>
    </w:rPr>
  </w:style>
  <w:style w:type="paragraph" w:customStyle="1" w:styleId="GovH1">
    <w:name w:val="GovH1"/>
    <w:pPr>
      <w:spacing w:before="160" w:after="120"/>
    </w:pPr>
    <w:rPr>
      <w:rFonts w:ascii="Aptos" w:hAnsi="Aptos"/>
      <w:b/>
      <w:color w:val="173F7A"/>
      <w:sz w:val="36"/>
    </w:rPr>
  </w:style>
  <w:style w:type="paragraph" w:customStyle="1" w:styleId="GovH2">
    <w:name w:val="GovH2"/>
    <w:pPr>
      <w:spacing w:before="120" w:after="80"/>
    </w:pPr>
    <w:rPr>
      <w:rFonts w:ascii="Aptos" w:hAnsi="Aptos"/>
      <w:b/>
      <w:color w:val="1F4E79"/>
      <w:sz w:val="26"/>
    </w:rPr>
  </w:style>
  <w:style w:type="paragraph" w:customStyle="1" w:styleId="GovCallout">
    <w:name w:val="GovCallout"/>
    <w:rPr>
      <w:rFonts w:ascii="Aptos" w:hAnsi="Aptos"/>
      <w:b w:val="0"/>
      <w:color w:val="4A4A4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