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GovTitle"/>
        <w:jc w:val="left"/>
      </w:pPr>
      <w:r>
        <w:t>GovSecure</w:t>
      </w:r>
    </w:p>
    <w:p>
      <w:pPr>
        <w:pStyle w:val="GovTitle"/>
        <w:spacing w:after="200"/>
      </w:pPr>
      <w:r>
        <w:t>Third-Party / Vendor AI Due Diligence Policy</w:t>
      </w:r>
    </w:p>
    <w:p>
      <w:pPr>
        <w:pStyle w:val="GovSub"/>
      </w:pPr>
      <w:r>
        <w:t>Standalone Branded Policy Document</w:t>
      </w:r>
    </w:p>
    <w:p>
      <w:pPr>
        <w:spacing w:after="280"/>
      </w:pPr>
      <w:r>
        <w:rPr>
          <w:i/>
          <w:sz w:val="22"/>
        </w:rPr>
        <w:t>Practical governance beats vague good intentions.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fill="173F7A"/>
            <w:tcBorders>
              <w:left w:val="single" w:sz="8" w:color="D7E3F3"/>
              <w:top w:val="single" w:sz="8" w:color="D7E3F3"/>
              <w:right w:val="single" w:sz="8" w:color="D7E3F3"/>
              <w:bottom w:val="single" w:sz="8" w:color="D7E3F3"/>
            </w:tcBorders>
            <w:vAlign w:val="center"/>
          </w:tcPr>
          <w:p>
            <w:r>
              <w:rPr>
                <w:b/>
                <w:color w:val="FFFFFF"/>
                <w:sz w:val="20"/>
              </w:rPr>
              <w:t>Primary owner</w:t>
            </w:r>
          </w:p>
        </w:tc>
        <w:tc>
          <w:tcPr>
            <w:tcW w:type="dxa" w:w="7056"/>
            <w:shd w:fill="EAF1FB"/>
            <w:tcBorders>
              <w:left w:val="single" w:sz="8" w:color="D7E3F3"/>
              <w:top w:val="single" w:sz="8" w:color="D7E3F3"/>
              <w:right w:val="single" w:sz="8" w:color="D7E3F3"/>
              <w:bottom w:val="single" w:sz="8" w:color="D7E3F3"/>
            </w:tcBorders>
            <w:vAlign w:val="center"/>
          </w:tcPr>
          <w:p>
            <w:r>
              <w:rPr>
                <w:sz w:val="20"/>
              </w:rPr>
              <w:t>Procurement / Vendor Risk Lead</w:t>
            </w:r>
          </w:p>
        </w:tc>
      </w:tr>
      <w:tr>
        <w:tc>
          <w:tcPr>
            <w:tcW w:type="dxa" w:w="2448"/>
            <w:shd w:fill="173F7A"/>
            <w:tcBorders>
              <w:left w:val="single" w:sz="8" w:color="D7E3F3"/>
              <w:top w:val="single" w:sz="8" w:color="D7E3F3"/>
              <w:right w:val="single" w:sz="8" w:color="D7E3F3"/>
              <w:bottom w:val="single" w:sz="8" w:color="D7E3F3"/>
            </w:tcBorders>
            <w:vAlign w:val="center"/>
          </w:tcPr>
          <w:p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7056"/>
            <w:shd w:fill="EAF1FB"/>
            <w:tcBorders>
              <w:left w:val="single" w:sz="8" w:color="D7E3F3"/>
              <w:top w:val="single" w:sz="8" w:color="D7E3F3"/>
              <w:right w:val="single" w:sz="8" w:color="D7E3F3"/>
              <w:bottom w:val="single" w:sz="8" w:color="D7E3F3"/>
            </w:tcBorders>
            <w:vAlign w:val="center"/>
          </w:tcPr>
          <w:p>
            <w:r>
              <w:rPr>
                <w:sz w:val="20"/>
              </w:rPr>
              <w:t>v1.0 | Paid SMB Edition</w:t>
            </w:r>
          </w:p>
        </w:tc>
      </w:tr>
    </w:tbl>
    <w:p/>
    <w:p>
      <w:pPr>
        <w:pStyle w:val="GovCallout"/>
      </w:pPr>
      <w:r>
        <w:t>Use this document as a client-ready policy baseline. Customize named roles, escalation paths, and references to internal standards, classifications, and regulatory obligations before approval.</w:t>
      </w:r>
    </w:p>
    <w:p>
      <w:r>
        <w:br w:type="page"/>
      </w:r>
    </w:p>
    <w:p>
      <w:pPr>
        <w:pStyle w:val="GovH1"/>
      </w:pPr>
      <w:r>
        <w:t>Policy Overview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EF4FB"/>
          </w:tcPr>
          <w:p>
            <w:r>
              <w:rPr>
                <w:b/>
                <w:sz w:val="20"/>
              </w:rPr>
              <w:t>Purpose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Establishes the requirements for assessing third-party AI vendors, platforms, models, and service providers before onboarding, renewal, or major scope change.</w:t>
            </w:r>
          </w:p>
        </w:tc>
      </w:tr>
      <w:tr>
        <w:tc>
          <w:tcPr>
            <w:tcW w:type="dxa" w:w="4968"/>
            <w:shd w:fill="EEF4FB"/>
          </w:tcPr>
          <w:p>
            <w:r>
              <w:rPr>
                <w:b/>
                <w:sz w:val="20"/>
              </w:rPr>
              <w:t>Scope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Applies to third-party AI vendors, model providers, copilots, SaaS features with embedded AI, implementation partners, and material vendor changes.</w:t>
            </w:r>
          </w:p>
        </w:tc>
      </w:tr>
      <w:tr>
        <w:tc>
          <w:tcPr>
            <w:tcW w:type="dxa" w:w="4968"/>
            <w:shd w:fill="EEF4FB"/>
          </w:tcPr>
          <w:p>
            <w:r>
              <w:rPr>
                <w:b/>
                <w:sz w:val="20"/>
              </w:rPr>
              <w:t>Primary owner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Procurement / Vendor Risk Lead</w:t>
            </w:r>
          </w:p>
        </w:tc>
      </w:tr>
      <w:tr>
        <w:tc>
          <w:tcPr>
            <w:tcW w:type="dxa" w:w="4968"/>
            <w:shd w:fill="EEF4FB"/>
          </w:tcPr>
          <w:p>
            <w:r>
              <w:rPr>
                <w:b/>
                <w:sz w:val="20"/>
              </w:rPr>
              <w:t>Audience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Procurement, Vendor Management, Security, Privacy, Legal, business sponsors, and AI governance reviewers</w:t>
            </w:r>
          </w:p>
        </w:tc>
      </w:tr>
    </w:tbl>
    <w:p/>
    <w:p>
      <w:pPr>
        <w:pStyle w:val="GovH1"/>
      </w:pPr>
      <w:r>
        <w:t>Policy Statements</w:t>
      </w:r>
    </w:p>
    <w:p>
      <w:pPr>
        <w:pStyle w:val="ListBullet"/>
      </w:pPr>
      <w:r>
        <w:t>Third-party AI vendors shall be assessed before onboarding, renewal, or material change using privacy, security, legal, operational, and governance criteria appropriate to the proposed use case.</w:t>
      </w:r>
    </w:p>
    <w:p>
      <w:pPr>
        <w:pStyle w:val="ListBullet"/>
      </w:pPr>
      <w:r>
        <w:t>No vendor may be approved without clarity on training use of customer data, retention, deletion, subprocessors, regional processing, incident obligations, and human review access where applicable.</w:t>
      </w:r>
    </w:p>
    <w:p>
      <w:pPr>
        <w:pStyle w:val="ListBullet"/>
      </w:pPr>
      <w:r>
        <w:t>Vendors supporting sensitive, regulated, or high-impact use cases shall provide enhanced evidence and may require contractual commitments, technical controls, or usage restrictions before approval.</w:t>
      </w:r>
    </w:p>
    <w:p>
      <w:pPr>
        <w:pStyle w:val="ListBullet"/>
      </w:pPr>
      <w:r>
        <w:t>Vendor owners shall monitor material vendor changes, new features, model/provider changes, and incidents that alter the approved risk posture.</w:t>
      </w:r>
    </w:p>
    <w:p>
      <w:pPr>
        <w:pStyle w:val="ListBullet"/>
      </w:pPr>
      <w:r>
        <w:t>The enterprise shall reserve the right to suspend or terminate use of vendor AI services that no longer meet privacy, security, contractual, or governance requirements.</w:t>
      </w:r>
    </w:p>
    <w:p/>
    <w:p>
      <w:pPr>
        <w:pStyle w:val="GovH1"/>
      </w:pPr>
      <w:r>
        <w:t>Roles and Responsibilities</w:t>
      </w:r>
    </w:p>
    <w:p>
      <w:pPr>
        <w:pStyle w:val="ListBullet"/>
      </w:pPr>
      <w:r>
        <w:t>Procurement or Vendor Risk coordinates vendor intake, evidence collection, and renewal review.</w:t>
      </w:r>
    </w:p>
    <w:p>
      <w:pPr>
        <w:pStyle w:val="ListBullet"/>
      </w:pPr>
      <w:r>
        <w:t>Business sponsors define intended use and remain accountable for approved vendor deployment.</w:t>
      </w:r>
    </w:p>
    <w:p>
      <w:pPr>
        <w:pStyle w:val="ListBullet"/>
      </w:pPr>
      <w:r>
        <w:t>Security, Privacy, and Legal review vendor commitments, gaps, incidents, and contractual protections.</w:t>
      </w:r>
    </w:p>
    <w:p>
      <w:pPr>
        <w:pStyle w:val="ListBullet"/>
      </w:pPr>
      <w:r>
        <w:t>Vendor owners monitor material service changes, new features, and risk posture over the relationship lifecycle.</w:t>
      </w:r>
    </w:p>
    <w:p/>
    <w:p>
      <w:pPr>
        <w:pStyle w:val="GovH1"/>
      </w:pPr>
      <w:r>
        <w:t>Required Records and Evidence</w:t>
      </w:r>
    </w:p>
    <w:p>
      <w:pPr>
        <w:pStyle w:val="ListBullet"/>
      </w:pPr>
      <w:r>
        <w:t>Vendor privacy questionnaire</w:t>
      </w:r>
    </w:p>
    <w:p>
      <w:pPr>
        <w:pStyle w:val="ListBullet"/>
      </w:pPr>
      <w:r>
        <w:t>Security questionnaire</w:t>
      </w:r>
    </w:p>
    <w:p>
      <w:pPr>
        <w:pStyle w:val="ListBullet"/>
      </w:pPr>
      <w:r>
        <w:t>Contract review checklist</w:t>
      </w:r>
    </w:p>
    <w:p>
      <w:pPr>
        <w:pStyle w:val="ListBullet"/>
      </w:pPr>
      <w:r>
        <w:t>Evidence register</w:t>
      </w:r>
    </w:p>
    <w:p>
      <w:pPr>
        <w:pStyle w:val="ListBullet"/>
      </w:pPr>
      <w:r>
        <w:t>Vendor risk summary</w:t>
      </w:r>
    </w:p>
    <w:p/>
    <w:p>
      <w:pPr>
        <w:pStyle w:val="GovH1"/>
      </w:pPr>
      <w:r>
        <w:t>Required Companion Templates</w:t>
      </w:r>
    </w:p>
    <w:p>
      <w:pPr>
        <w:pStyle w:val="ListBullet"/>
      </w:pPr>
      <w:r>
        <w:t>Third-Party AI Privacy Risk Assessment</w:t>
      </w:r>
    </w:p>
    <w:p>
      <w:pPr>
        <w:pStyle w:val="ListBullet"/>
      </w:pPr>
      <w:r>
        <w:t>AI Vendor Security Questionnaire</w:t>
      </w:r>
    </w:p>
    <w:p>
      <w:pPr>
        <w:pStyle w:val="ListBullet"/>
      </w:pPr>
      <w:r>
        <w:t>AI Vendor Contract Review Checklist</w:t>
      </w:r>
    </w:p>
    <w:p>
      <w:pPr>
        <w:pStyle w:val="ListBullet"/>
      </w:pPr>
      <w:r>
        <w:t>AI Vendor Risk Summary Sheet</w:t>
      </w:r>
    </w:p>
    <w:p>
      <w:pPr>
        <w:pStyle w:val="ListBullet"/>
      </w:pPr>
      <w:r>
        <w:t>AI Vendor Evidence Request List</w:t>
      </w:r>
    </w:p>
    <w:p>
      <w:pPr>
        <w:pStyle w:val="ListBullet"/>
      </w:pPr>
      <w:r>
        <w:t>Implementation note: This policy should be approved by the client’s designated owner, linked to operating procedures, and reviewed at least annually or after a material AI-related change.</w:t>
      </w:r>
    </w:p>
    <w:p/>
    <w:p>
      <w:pPr>
        <w:pStyle w:val="GovH1"/>
      </w:pPr>
      <w:r>
        <w:t>Implementation Note</w:t>
      </w:r>
    </w:p>
    <w:p>
      <w:r>
        <w:t>This policy should be approved by the client’s designated owner, linked to operating procedures, and reviewed at least annually or after a material AI-related change.</w:t>
      </w:r>
    </w:p>
    <w:p>
      <w:r>
        <w:br w:type="page"/>
      </w:r>
    </w:p>
    <w:p>
      <w:pPr>
        <w:pStyle w:val="Title"/>
        <w:jc w:val="left"/>
      </w:pPr>
      <w:r>
        <w:rPr>
          <w:b/>
          <w:sz w:val="44"/>
        </w:rPr>
        <w:t>GovSecure Licensing and Usage</w:t>
      </w:r>
    </w:p>
    <w:p>
      <w:pPr>
        <w:pStyle w:val="Heading1"/>
      </w:pPr>
      <w:r>
        <w:rPr>
          <w:b/>
          <w:sz w:val="26"/>
        </w:rPr>
        <w:t>License Scope</w:t>
      </w:r>
    </w:p>
    <w:p>
      <w:pPr/>
      <w:r>
        <w:t>This GovSecure policy template is licensed for use by a single purchasing organization for its internal governance, risk, compliance, privacy, security, and operational activities.</w:t>
      </w:r>
    </w:p>
    <w:p>
      <w:pPr>
        <w:pStyle w:val="Heading1"/>
      </w:pPr>
      <w:r>
        <w:rPr>
          <w:b/>
          <w:sz w:val="26"/>
        </w:rPr>
        <w:t>Permitted Use</w:t>
      </w:r>
    </w:p>
    <w:p>
      <w:pPr/>
      <w:r>
        <w:t>The purchaser may edit, tailor, and deploy this document for internal business use, including policy adoption, training, audit preparation, and enterprise AI governance program development.</w:t>
      </w:r>
    </w:p>
    <w:p>
      <w:pPr>
        <w:pStyle w:val="Heading1"/>
      </w:pPr>
      <w:r>
        <w:rPr>
          <w:b/>
          <w:sz w:val="26"/>
        </w:rPr>
        <w:t>Restricted Use</w:t>
      </w:r>
    </w:p>
    <w:p>
      <w:pPr/>
      <w:r>
        <w:t>The purchaser may not resell, sublicense, redistribute, publish, bundle, or offer this document, whether modified or unmodified, as a standalone product, template pack, or commercial deliverable to third parties without written permission from GovSecure.</w:t>
      </w:r>
    </w:p>
    <w:p>
      <w:pPr>
        <w:pStyle w:val="Heading1"/>
      </w:pPr>
      <w:r>
        <w:rPr>
          <w:b/>
          <w:sz w:val="26"/>
        </w:rPr>
        <w:t>Customization Responsibility</w:t>
      </w:r>
    </w:p>
    <w:p>
      <w:pPr/>
      <w:r>
        <w:t>This template is intended as a practical governance baseline. The purchaser is responsible for reviewing and customizing roles, approval paths, legal references, technical controls, records requirements, and jurisdiction-specific obligations before adoption.</w:t>
      </w:r>
    </w:p>
    <w:p>
      <w:pPr>
        <w:pStyle w:val="Heading1"/>
      </w:pPr>
      <w:r>
        <w:rPr>
          <w:b/>
          <w:sz w:val="26"/>
        </w:rPr>
        <w:t>No Legal Advice</w:t>
      </w:r>
    </w:p>
    <w:p>
      <w:pPr/>
      <w:r>
        <w:t>This document is not legal advice and does not create an attorney-client relationship. Organizations should obtain legal, privacy, regulatory, or sector-specific review where required.</w:t>
      </w:r>
    </w:p>
    <w:p>
      <w:pPr>
        <w:pStyle w:val="Heading1"/>
      </w:pPr>
      <w:r>
        <w:rPr>
          <w:b/>
          <w:sz w:val="26"/>
        </w:rPr>
        <w:t>Warranty and Liability</w:t>
      </w:r>
    </w:p>
    <w:p>
      <w:pPr/>
      <w:r>
        <w:t>This material is provided as-is for professional use. GovSecure makes no guarantee that this document alone will satisfy every legal, regulatory, contractual, or audit requirement in every jurisdiction or use case.</w:t>
      </w:r>
    </w:p>
    <w:p>
      <w:pPr>
        <w:pStyle w:val="Heading1"/>
      </w:pPr>
      <w:r>
        <w:rPr>
          <w:b/>
          <w:sz w:val="26"/>
        </w:rPr>
        <w:t>Copyright</w:t>
      </w:r>
    </w:p>
    <w:p>
      <w:pPr/>
      <w:r>
        <w:t>Copyright GovSecure. All rights reserved. Use is subject to the applicable purchase terms, license terms, statement of work, or written authorization issued by GovSecure.</w:t>
      </w:r>
    </w:p>
    <w:p>
      <w:pPr>
        <w:pStyle w:val="Heading1"/>
      </w:pPr>
      <w:r>
        <w:rPr>
          <w:b/>
          <w:sz w:val="26"/>
        </w:rPr>
        <w:t>Contact</w:t>
      </w:r>
    </w:p>
    <w:p>
      <w:pPr/>
      <w:r>
        <w:t>For enterprise licensing, customization, or commercial reuse inquiries, contact GovSecure through its authorized business channel.</w:t>
      </w:r>
    </w:p>
    <w:sectPr w:rsidR="00FC693F" w:rsidRPr="0006063C" w:rsidSect="00034616">
      <w:footerReference w:type="default" r:id="rId9"/>
      <w:pgSz w:w="12240" w:h="15840"/>
      <w:pgMar w:top="1152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sz w:val="18"/>
      </w:rPr>
      <w:t>GovSecure.ai  |  AI Governance. Secured. Delivered.  |  Standalone Policy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ovTitle">
    <w:name w:val="GovTitle"/>
    <w:pPr>
      <w:spacing w:after="0"/>
    </w:pPr>
    <w:rPr>
      <w:rFonts w:ascii="Aptos" w:hAnsi="Aptos"/>
      <w:b/>
      <w:color w:val="173F7A"/>
      <w:sz w:val="52"/>
    </w:rPr>
  </w:style>
  <w:style w:type="paragraph" w:customStyle="1" w:styleId="GovSub">
    <w:name w:val="GovSub"/>
    <w:rPr>
      <w:rFonts w:ascii="Aptos" w:hAnsi="Aptos"/>
      <w:b w:val="0"/>
      <w:color w:val="4F6B8F"/>
      <w:sz w:val="26"/>
    </w:rPr>
  </w:style>
  <w:style w:type="paragraph" w:customStyle="1" w:styleId="GovH1">
    <w:name w:val="GovH1"/>
    <w:pPr>
      <w:spacing w:before="160" w:after="120"/>
    </w:pPr>
    <w:rPr>
      <w:rFonts w:ascii="Aptos" w:hAnsi="Aptos"/>
      <w:b/>
      <w:color w:val="173F7A"/>
      <w:sz w:val="36"/>
    </w:rPr>
  </w:style>
  <w:style w:type="paragraph" w:customStyle="1" w:styleId="GovH2">
    <w:name w:val="GovH2"/>
    <w:pPr>
      <w:spacing w:before="120" w:after="80"/>
    </w:pPr>
    <w:rPr>
      <w:rFonts w:ascii="Aptos" w:hAnsi="Aptos"/>
      <w:b/>
      <w:color w:val="1F4E79"/>
      <w:sz w:val="26"/>
    </w:rPr>
  </w:style>
  <w:style w:type="paragraph" w:customStyle="1" w:styleId="GovCallout">
    <w:name w:val="GovCallout"/>
    <w:rPr>
      <w:rFonts w:ascii="Aptos" w:hAnsi="Aptos"/>
      <w:b w:val="0"/>
      <w:color w:val="4A4A4A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